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color w:val="00B0F0"/>
          <w:sz w:val="30"/>
          <w:szCs w:val="30"/>
        </w:rPr>
      </w:pP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sz w:val="30"/>
          <w:szCs w:val="30"/>
        </w:rPr>
        <w:t xml:space="preserve"> </w:t>
      </w:r>
      <w:r>
        <w:rPr>
          <w:rFonts w:hint="eastAsia" w:ascii="黑体" w:hAnsi="黑体" w:eastAsia="黑体"/>
          <w:sz w:val="30"/>
          <w:szCs w:val="30"/>
        </w:rPr>
        <w:t>青岛市特种设备</w:t>
      </w:r>
      <w:r>
        <w:rPr>
          <w:rFonts w:ascii="黑体" w:hAnsi="黑体" w:eastAsia="黑体"/>
          <w:sz w:val="30"/>
          <w:szCs w:val="30"/>
        </w:rPr>
        <w:t>协会</w:t>
      </w:r>
      <w:r>
        <w:rPr>
          <w:rFonts w:hint="eastAsia" w:ascii="黑体" w:hAnsi="黑体" w:eastAsia="黑体"/>
          <w:sz w:val="30"/>
          <w:szCs w:val="30"/>
        </w:rPr>
        <w:t xml:space="preserve"> </w:t>
      </w: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b/>
          <w:color w:val="00B0F0"/>
          <w:sz w:val="30"/>
          <w:szCs w:val="30"/>
        </w:rPr>
        <w:t>-</w:t>
      </w:r>
    </w:p>
    <w:p>
      <w:pPr>
        <w:jc w:val="center"/>
        <w:rPr>
          <w:rFonts w:ascii="黑体" w:hAnsi="黑体" w:eastAsia="黑体"/>
          <w:szCs w:val="21"/>
        </w:rPr>
      </w:pPr>
    </w:p>
    <w:p>
      <w:pPr>
        <w:jc w:val="center"/>
        <w:outlineLvl w:val="0"/>
        <w:rPr>
          <w:rFonts w:ascii="方正隶二简体" w:hAnsi="黑体" w:eastAsia="方正隶二简体"/>
          <w:color w:val="C00000"/>
          <w:sz w:val="96"/>
          <w:szCs w:val="96"/>
        </w:rPr>
      </w:pPr>
      <w:r>
        <w:rPr>
          <w:rFonts w:ascii="方正隶二简体" w:hAnsi="黑体" w:eastAsia="方正隶二简体"/>
          <w:color w:val="C00000"/>
          <w:sz w:val="96"/>
          <w:szCs w:val="96"/>
        </w:rPr>
        <w:drawing>
          <wp:inline distT="0" distB="0" distL="0" distR="0">
            <wp:extent cx="481330" cy="504825"/>
            <wp:effectExtent l="0" t="0" r="0" b="0"/>
            <wp:docPr id="10" name="图片 10" descr="E:\协会\协会徽标\协会徽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协会\协会徽标\协会徽标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50306" cy="576736"/>
                    </a:xfrm>
                    <a:prstGeom prst="rect">
                      <a:avLst/>
                    </a:prstGeom>
                    <a:noFill/>
                    <a:ln>
                      <a:noFill/>
                    </a:ln>
                  </pic:spPr>
                </pic:pic>
              </a:graphicData>
            </a:graphic>
          </wp:inline>
        </w:drawing>
      </w:r>
      <w:r>
        <w:rPr>
          <w:rFonts w:hint="eastAsia" w:ascii="方正隶二简体" w:hAnsi="黑体" w:eastAsia="方正隶二简体"/>
          <w:color w:val="C00000"/>
          <w:sz w:val="30"/>
          <w:szCs w:val="30"/>
        </w:rPr>
        <w:t xml:space="preserve"> </w:t>
      </w:r>
      <w:r>
        <w:rPr>
          <w:rFonts w:hint="eastAsia" w:ascii="方正隶二简体" w:hAnsi="黑体" w:eastAsia="方正隶二简体"/>
          <w:color w:val="C00000"/>
          <w:sz w:val="90"/>
          <w:szCs w:val="90"/>
        </w:rPr>
        <w:t>特种设备协会简报</w:t>
      </w:r>
    </w:p>
    <w:p>
      <w:pPr>
        <w:jc w:val="center"/>
        <w:outlineLvl w:val="0"/>
        <w:rPr>
          <w:rFonts w:asciiTheme="minorEastAsia" w:hAnsiTheme="minorEastAsia"/>
          <w:b/>
          <w:sz w:val="36"/>
          <w:szCs w:val="36"/>
        </w:rPr>
      </w:pPr>
      <w:r>
        <w:rPr>
          <w:rFonts w:hint="eastAsia" w:ascii="黑体" w:hAnsi="黑体" w:eastAsia="黑体"/>
          <w:sz w:val="36"/>
          <w:szCs w:val="36"/>
        </w:rPr>
        <w:t>201</w:t>
      </w:r>
      <w:r>
        <w:rPr>
          <w:rFonts w:hint="eastAsia" w:ascii="黑体" w:hAnsi="黑体" w:eastAsia="黑体"/>
          <w:sz w:val="36"/>
          <w:szCs w:val="36"/>
          <w:lang w:val="en-US" w:eastAsia="zh-CN"/>
        </w:rPr>
        <w:t>8</w:t>
      </w:r>
      <w:r>
        <w:rPr>
          <w:rFonts w:hint="eastAsia" w:ascii="黑体" w:hAnsi="黑体" w:eastAsia="黑体"/>
          <w:sz w:val="36"/>
          <w:szCs w:val="36"/>
        </w:rPr>
        <w:t>年</w:t>
      </w:r>
      <w:r>
        <w:rPr>
          <w:rFonts w:ascii="黑体" w:hAnsi="黑体" w:eastAsia="黑体"/>
          <w:sz w:val="36"/>
          <w:szCs w:val="36"/>
        </w:rPr>
        <w:t>第</w:t>
      </w:r>
      <w:r>
        <w:rPr>
          <w:rFonts w:hint="eastAsia" w:ascii="黑体" w:hAnsi="黑体" w:eastAsia="黑体"/>
          <w:sz w:val="36"/>
          <w:szCs w:val="36"/>
          <w:lang w:eastAsia="zh-CN"/>
        </w:rPr>
        <w:t>三</w:t>
      </w:r>
      <w:r>
        <w:rPr>
          <w:rFonts w:ascii="黑体" w:hAnsi="黑体" w:eastAsia="黑体"/>
          <w:sz w:val="36"/>
          <w:szCs w:val="36"/>
        </w:rPr>
        <w:t>期</w:t>
      </w:r>
      <w:r>
        <w:rPr>
          <w:rFonts w:hint="eastAsia" w:ascii="黑体" w:hAnsi="黑体" w:eastAsia="黑体"/>
          <w:sz w:val="36"/>
          <w:szCs w:val="36"/>
        </w:rPr>
        <w:t xml:space="preserve">  总</w:t>
      </w:r>
      <w:r>
        <w:rPr>
          <w:rFonts w:ascii="黑体" w:hAnsi="黑体" w:eastAsia="黑体"/>
          <w:sz w:val="36"/>
          <w:szCs w:val="36"/>
        </w:rPr>
        <w:t>第</w:t>
      </w:r>
      <w:r>
        <w:rPr>
          <w:rFonts w:hint="eastAsia" w:ascii="黑体" w:hAnsi="黑体" w:eastAsia="黑体"/>
          <w:sz w:val="36"/>
          <w:szCs w:val="36"/>
          <w:lang w:eastAsia="zh-CN"/>
        </w:rPr>
        <w:t>六</w:t>
      </w:r>
      <w:r>
        <w:rPr>
          <w:rFonts w:ascii="黑体" w:hAnsi="黑体" w:eastAsia="黑体"/>
          <w:sz w:val="36"/>
          <w:szCs w:val="36"/>
        </w:rPr>
        <w:t>期</w:t>
      </w: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地址</w:t>
      </w:r>
      <w:r>
        <w:rPr>
          <w:rFonts w:ascii="黑体" w:hAnsi="黑体" w:eastAsia="黑体"/>
          <w:sz w:val="24"/>
          <w:szCs w:val="24"/>
        </w:rPr>
        <w:t>：青岛市市南区山东路</w:t>
      </w:r>
      <w:r>
        <w:rPr>
          <w:rFonts w:hint="eastAsia" w:ascii="黑体" w:hAnsi="黑体" w:eastAsia="黑体"/>
          <w:sz w:val="24"/>
          <w:szCs w:val="24"/>
        </w:rPr>
        <w:t xml:space="preserve">15号                              </w:t>
      </w:r>
      <w:r>
        <w:rPr>
          <w:rFonts w:hint="eastAsia" w:asciiTheme="minorEastAsia" w:hAnsiTheme="minorEastAsia"/>
          <w:sz w:val="24"/>
          <w:szCs w:val="24"/>
        </w:rPr>
        <w:t>201</w:t>
      </w:r>
      <w:r>
        <w:rPr>
          <w:rFonts w:hint="eastAsia" w:asciiTheme="minorEastAsia" w:hAnsiTheme="minorEastAsia"/>
          <w:sz w:val="24"/>
          <w:szCs w:val="24"/>
          <w:lang w:val="en-US" w:eastAsia="zh-CN"/>
        </w:rPr>
        <w:t>8</w:t>
      </w:r>
      <w:r>
        <w:rPr>
          <w:rFonts w:hint="eastAsia" w:asciiTheme="minorEastAsia" w:hAnsiTheme="minorEastAsia"/>
          <w:sz w:val="24"/>
          <w:szCs w:val="24"/>
        </w:rPr>
        <w:t>年</w:t>
      </w:r>
      <w:r>
        <w:rPr>
          <w:rFonts w:hint="eastAsia" w:asciiTheme="minorEastAsia" w:hAnsiTheme="minorEastAsia"/>
          <w:sz w:val="24"/>
          <w:szCs w:val="24"/>
          <w:lang w:val="en-US" w:eastAsia="zh-CN"/>
        </w:rPr>
        <w:t>9</w:t>
      </w:r>
      <w:r>
        <w:rPr>
          <w:rFonts w:hint="eastAsia" w:asciiTheme="minorEastAsia" w:hAnsiTheme="minorEastAsia"/>
          <w:sz w:val="24"/>
          <w:szCs w:val="24"/>
        </w:rPr>
        <w:t>月</w:t>
      </w:r>
    </w:p>
    <w:p>
      <w:pPr>
        <w:rPr>
          <w:rFonts w:ascii="黑体" w:hAnsi="黑体" w:eastAsia="黑体"/>
          <w:sz w:val="24"/>
          <w:szCs w:val="24"/>
        </w:rPr>
      </w:pPr>
      <w:r>
        <w:rPr>
          <w:rFonts w:hint="eastAsia" w:ascii="黑体" w:hAnsi="黑体" w:eastAsia="黑体"/>
          <w:sz w:val="24"/>
          <w:szCs w:val="24"/>
        </w:rPr>
        <w:t>电话（传真</w:t>
      </w:r>
      <w:r>
        <w:rPr>
          <w:rFonts w:ascii="黑体" w:hAnsi="黑体" w:eastAsia="黑体"/>
          <w:sz w:val="24"/>
          <w:szCs w:val="24"/>
        </w:rPr>
        <w:t>）：</w:t>
      </w:r>
      <w:r>
        <w:rPr>
          <w:rFonts w:hint="eastAsia" w:ascii="黑体" w:hAnsi="黑体" w:eastAsia="黑体"/>
          <w:sz w:val="24"/>
          <w:szCs w:val="24"/>
        </w:rPr>
        <w:t>0532</w:t>
      </w:r>
      <w:r>
        <w:rPr>
          <w:rFonts w:ascii="黑体" w:hAnsi="黑体" w:eastAsia="黑体"/>
          <w:sz w:val="24"/>
          <w:szCs w:val="24"/>
        </w:rPr>
        <w:t xml:space="preserve">-85815622                           </w:t>
      </w:r>
      <w:r>
        <w:rPr>
          <w:rFonts w:ascii="黑体" w:hAnsi="黑体" w:eastAsia="黑体"/>
          <w:b/>
          <w:sz w:val="24"/>
          <w:szCs w:val="24"/>
        </w:rPr>
        <w:t xml:space="preserve"> </w:t>
      </w:r>
      <w:r>
        <w:rPr>
          <w:rFonts w:hint="eastAsia" w:asciiTheme="minorEastAsia" w:hAnsiTheme="minorEastAsia"/>
          <w:b/>
          <w:szCs w:val="21"/>
        </w:rPr>
        <w:t>内部</w:t>
      </w:r>
      <w:r>
        <w:rPr>
          <w:rFonts w:asciiTheme="minorEastAsia" w:hAnsiTheme="minorEastAsia"/>
          <w:b/>
          <w:szCs w:val="21"/>
        </w:rPr>
        <w:t>刊</w:t>
      </w:r>
      <w:r>
        <w:rPr>
          <w:rFonts w:hint="eastAsia" w:asciiTheme="minorEastAsia" w:hAnsiTheme="minorEastAsia"/>
          <w:b/>
          <w:szCs w:val="21"/>
        </w:rPr>
        <w:t>物 免费</w:t>
      </w:r>
      <w:r>
        <w:rPr>
          <w:rFonts w:asciiTheme="minorEastAsia" w:hAnsiTheme="minorEastAsia"/>
          <w:b/>
          <w:szCs w:val="21"/>
        </w:rPr>
        <w:t>赠阅</w:t>
      </w:r>
    </w:p>
    <w:p>
      <w:pPr>
        <w:rPr>
          <w:rFonts w:asciiTheme="minorEastAsia" w:hAnsiTheme="minorEastAsia"/>
          <w:color w:val="00B0F0"/>
          <w:sz w:val="32"/>
          <w:szCs w:val="32"/>
        </w:rPr>
      </w:pPr>
      <w:r>
        <w:rPr>
          <w:rFonts w:asciiTheme="minorEastAsia" w:hAnsiTheme="minorEastAsia"/>
          <w:color w:val="00B050"/>
          <w:sz w:val="32"/>
          <w:szCs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45720</wp:posOffset>
                </wp:positionV>
                <wp:extent cx="5267325" cy="114300"/>
                <wp:effectExtent l="6350" t="6350" r="22225" b="12700"/>
                <wp:wrapNone/>
                <wp:docPr id="2" name="矩形 5"/>
                <wp:cNvGraphicFramePr/>
                <a:graphic xmlns:a="http://schemas.openxmlformats.org/drawingml/2006/main">
                  <a:graphicData uri="http://schemas.microsoft.com/office/word/2010/wordprocessingShape">
                    <wps:wsp>
                      <wps:cNvSpPr/>
                      <wps:spPr>
                        <a:xfrm>
                          <a:off x="0" y="0"/>
                          <a:ext cx="5267325" cy="114300"/>
                        </a:xfrm>
                        <a:prstGeom prst="rect">
                          <a:avLst/>
                        </a:prstGeom>
                        <a:solidFill>
                          <a:schemeClr val="bg1">
                            <a:lumMod val="75000"/>
                          </a:schemeClr>
                        </a:solidFill>
                        <a:ln w="12700" cap="flat" cmpd="sng">
                          <a:solidFill>
                            <a:schemeClr val="accent1">
                              <a:lumMod val="50000"/>
                            </a:schemeClr>
                          </a:solidFill>
                          <a:prstDash val="solid"/>
                          <a:miter/>
                          <a:headEnd type="none" w="med" len="med"/>
                          <a:tailEnd type="none" w="med" len="med"/>
                        </a:ln>
                      </wps:spPr>
                      <wps:bodyPr anchor="ctr" upright="1"/>
                    </wps:wsp>
                  </a:graphicData>
                </a:graphic>
              </wp:anchor>
            </w:drawing>
          </mc:Choice>
          <mc:Fallback>
            <w:pict>
              <v:rect id="矩形 5" o:spid="_x0000_s1026" o:spt="1" style="position:absolute;left:0pt;margin-top:3.6pt;height:9pt;width:414.75pt;mso-position-horizontal:right;mso-position-horizontal-relative:margin;z-index:251659264;v-text-anchor:middle;mso-width-relative:page;mso-height-relative:page;" fillcolor="#BFBFBF [2412]" filled="t" stroked="t" coordsize="21600,21600" o:gfxdata="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291mHUAAAABQEAAA8AAAAAAAAAAQAgAAAAIgAAAGRycy9k&#10;b3ducmV2LnhtbFBLAQIUABQAAAAIAIdO4kDQ5qqZBgIAACIEAAAOAAAAAAAAAAEAIAAAACMBAABk&#10;cnMvZTJvRG9jLnhtbFBLBQYAAAAABgAGAFkBAACbBQAAAAA=&#10;">
                <v:fill on="t" focussize="0,0"/>
                <v:stroke weight="1pt" color="#1F4E79 [1604]" joinstyle="miter"/>
                <v:imagedata o:title=""/>
                <o:lock v:ext="edit" aspectratio="f"/>
              </v:rect>
            </w:pict>
          </mc:Fallback>
        </mc:AlternateContent>
      </w:r>
    </w:p>
    <w:p>
      <w:pPr>
        <w:rPr>
          <w:rFonts w:ascii="黑体" w:hAnsi="黑体" w:eastAsia="黑体" w:cs="宋体"/>
          <w:b/>
          <w:bCs/>
          <w:kern w:val="0"/>
          <w:szCs w:val="21"/>
        </w:rPr>
      </w:pPr>
      <w:r>
        <w:rPr>
          <w:rFonts w:hint="eastAsia" w:ascii="黑体" w:hAnsi="黑体" w:eastAsia="黑体"/>
          <w:sz w:val="28"/>
          <w:szCs w:val="28"/>
          <w:shd w:val="pct10" w:color="auto" w:fill="FFFFFF"/>
        </w:rPr>
        <w:t>协会动态</w:t>
      </w:r>
    </w:p>
    <w:p>
      <w:pPr>
        <w:jc w:val="center"/>
        <w:rPr>
          <w:rFonts w:hint="eastAsia" w:eastAsiaTheme="minorEastAsia"/>
          <w:sz w:val="36"/>
          <w:szCs w:val="36"/>
          <w:lang w:eastAsia="zh-CN"/>
        </w:rPr>
      </w:pPr>
      <w:r>
        <w:rPr>
          <w:rFonts w:hint="eastAsia" w:asciiTheme="minorEastAsia" w:hAnsiTheme="minorEastAsia"/>
          <w:b/>
          <w:sz w:val="36"/>
          <w:szCs w:val="36"/>
          <w:lang w:val="en-US" w:eastAsia="zh-CN"/>
        </w:rPr>
        <w:t xml:space="preserve">  </w:t>
      </w:r>
      <w:r>
        <w:rPr>
          <w:rFonts w:hint="eastAsia" w:asciiTheme="minorEastAsia" w:hAnsiTheme="minorEastAsia"/>
          <w:b/>
          <w:sz w:val="36"/>
          <w:szCs w:val="36"/>
          <w:lang w:eastAsia="zh-CN"/>
        </w:rPr>
        <w:t>协会公开招聘笔试、面试工作人员圆满结束</w:t>
      </w:r>
    </w:p>
    <w:p>
      <w:pPr>
        <w:ind w:firstLine="640" w:firstLineChars="200"/>
        <w:jc w:val="both"/>
        <w:rPr>
          <w:rFonts w:hint="eastAsia" w:asciiTheme="minorEastAsia" w:hAnsiTheme="minorEastAsia"/>
          <w:sz w:val="32"/>
          <w:szCs w:val="32"/>
          <w:lang w:val="en-US" w:eastAsia="zh-CN"/>
        </w:rPr>
      </w:pPr>
      <w:r>
        <w:rPr>
          <w:rFonts w:hint="eastAsia" w:asciiTheme="minorEastAsia" w:hAnsiTheme="minorEastAsia"/>
          <w:sz w:val="32"/>
          <w:szCs w:val="32"/>
          <w:lang w:eastAsia="zh-CN"/>
        </w:rPr>
        <w:t>青岛市特种设备协会公开招聘笔试、面试工作于</w:t>
      </w:r>
      <w:r>
        <w:rPr>
          <w:rFonts w:hint="eastAsia" w:asciiTheme="minorEastAsia" w:hAnsiTheme="minorEastAsia"/>
          <w:sz w:val="32"/>
          <w:szCs w:val="32"/>
          <w:lang w:val="en-US" w:eastAsia="zh-CN"/>
        </w:rPr>
        <w:t>9月1日圆满完成，共有4名参加了笔试、其中3名参加了面试。青岛市特种设备协会秘书处精心组织，周密部署，确保此次笔试、面试工作的顺利开展。</w:t>
      </w:r>
    </w:p>
    <w:p>
      <w:pPr>
        <w:ind w:firstLine="640" w:firstLineChars="200"/>
        <w:jc w:val="both"/>
        <w:rPr>
          <w:rFonts w:hint="eastAsia" w:asciiTheme="minorEastAsia" w:hAnsiTheme="minorEastAsia"/>
          <w:sz w:val="32"/>
          <w:szCs w:val="32"/>
          <w:lang w:val="en-US" w:eastAsia="zh-CN"/>
        </w:rPr>
      </w:pPr>
      <w:r>
        <w:rPr>
          <w:rFonts w:hint="eastAsia" w:asciiTheme="minorEastAsia" w:hAnsiTheme="minorEastAsia"/>
          <w:sz w:val="32"/>
          <w:szCs w:val="32"/>
          <w:lang w:val="en-US" w:eastAsia="zh-CN"/>
        </w:rPr>
        <w:t>一是加强组织领导，明确责任要求。青岛市特种设备协会负责人解赞华做为本次笔试、面试总负责人，协会郑菁办公室主任明确了各组成员职责分工，形成责任明晰、协调联动的工作机制。制定详细的考试组织方案、面试工作流程、关键环节预案，确保笔试、面试工作万无一失。</w:t>
      </w:r>
    </w:p>
    <w:p>
      <w:pPr>
        <w:tabs>
          <w:tab w:val="left" w:pos="1260"/>
          <w:tab w:val="left" w:pos="1440"/>
        </w:tabs>
        <w:spacing w:line="276" w:lineRule="auto"/>
        <w:ind w:firstLine="560" w:firstLineChars="200"/>
        <w:jc w:val="left"/>
        <w:rPr>
          <w:rFonts w:hint="eastAsia" w:asciiTheme="minorEastAsia" w:hAnsiTheme="minorEastAsia"/>
          <w:sz w:val="28"/>
          <w:szCs w:val="28"/>
          <w:lang w:eastAsia="zh-CN"/>
        </w:rPr>
        <w:sectPr>
          <w:footerReference r:id="rId3" w:type="default"/>
          <w:type w:val="continuous"/>
          <w:pgSz w:w="11906" w:h="16838"/>
          <w:pgMar w:top="1440" w:right="1800" w:bottom="1440" w:left="1800" w:header="851" w:footer="992" w:gutter="0"/>
          <w:cols w:space="425" w:num="1"/>
          <w:docGrid w:type="lines" w:linePitch="312" w:charSpace="0"/>
        </w:sectPr>
      </w:pPr>
    </w:p>
    <w:p>
      <w:pPr>
        <w:spacing w:line="600" w:lineRule="exact"/>
        <w:ind w:firstLine="640" w:firstLineChars="200"/>
        <w:jc w:val="left"/>
        <w:rPr>
          <w:rFonts w:hint="eastAsia" w:asciiTheme="minorEastAsia" w:hAnsiTheme="minorEastAsia"/>
          <w:b w:val="0"/>
          <w:bCs/>
          <w:sz w:val="32"/>
          <w:szCs w:val="32"/>
          <w:lang w:eastAsia="zh-CN"/>
        </w:rPr>
      </w:pPr>
      <w:r>
        <w:rPr>
          <w:rFonts w:hint="eastAsia" w:asciiTheme="minorEastAsia" w:hAnsiTheme="minorEastAsia"/>
          <w:sz w:val="32"/>
          <w:szCs w:val="32"/>
          <w:lang w:val="en-US" w:eastAsia="zh-CN"/>
        </w:rPr>
        <w:t>二是规范笔试、面试程序，按照青岛市特种设备协会统一考务规程。考场分别设置笔试室、面试室 、考官室等独立工作场所。采取“两抽签”、“双隔离”、全屏蔽等措施，“考两抽签”即考官通过抽签方式，随机确定，考生通过抽签方式确定面试顺序；“双隔离”主要是在考官与考生、考生与工作人员的隔离，不同职责的工作人员上做到隔离考试信息有可能传递的渠道：“双屏蔽”就是笔试、面试当天在考场统一收缴和集中保管考生通讯工具等，整个考试期间实行全天候断网的屏蔽。确保了此次笔试、面试的公平、公正。</w:t>
      </w:r>
    </w:p>
    <w:p>
      <w:pPr>
        <w:ind w:firstLine="640" w:firstLineChars="200"/>
        <w:jc w:val="both"/>
        <w:rPr>
          <w:rFonts w:hint="eastAsia" w:asciiTheme="minorEastAsia" w:hAnsiTheme="minorEastAsia"/>
          <w:sz w:val="32"/>
          <w:szCs w:val="32"/>
          <w:lang w:val="en-US" w:eastAsia="zh-CN"/>
        </w:rPr>
        <w:sectPr>
          <w:type w:val="continuous"/>
          <w:pgSz w:w="11906" w:h="16838"/>
          <w:pgMar w:top="1440" w:right="1800" w:bottom="1440" w:left="1800" w:header="851" w:footer="992" w:gutter="0"/>
          <w:cols w:space="425" w:num="1"/>
          <w:docGrid w:type="lines" w:linePitch="312" w:charSpace="0"/>
        </w:sectPr>
      </w:pPr>
      <w:r>
        <w:rPr>
          <w:rFonts w:hint="eastAsia" w:asciiTheme="minorEastAsia" w:hAnsiTheme="minorEastAsia"/>
          <w:sz w:val="32"/>
          <w:szCs w:val="32"/>
          <w:lang w:val="en-US" w:eastAsia="zh-CN"/>
        </w:rPr>
        <w:t>三、加大监督力度，做到公平、公正。邀请1名监督员全程参与，5人均为考试出题考官负责命题、面试抽签、面试考官、工作人员、笔试、面试成绩的计算及宣布等情况进行监督，做到公平、公正、切实增加笔试、面试工作透明度。</w:t>
      </w:r>
    </w:p>
    <w:p>
      <w:pPr>
        <w:spacing w:line="600" w:lineRule="exact"/>
        <w:jc w:val="left"/>
        <w:rPr>
          <w:rFonts w:hint="eastAsia" w:ascii="黑体" w:hAnsi="黑体" w:eastAsia="黑体"/>
          <w:sz w:val="28"/>
          <w:szCs w:val="28"/>
          <w:shd w:val="pct10" w:color="auto" w:fill="FFFFFF"/>
        </w:rPr>
      </w:pPr>
    </w:p>
    <w:p>
      <w:pPr>
        <w:spacing w:line="240" w:lineRule="auto"/>
        <w:jc w:val="left"/>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drawing>
          <wp:inline distT="0" distB="0" distL="114300" distR="114300">
            <wp:extent cx="5262245" cy="3512185"/>
            <wp:effectExtent l="0" t="0" r="14605" b="1206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8"/>
                    <a:stretch>
                      <a:fillRect/>
                    </a:stretch>
                  </pic:blipFill>
                  <pic:spPr>
                    <a:xfrm>
                      <a:off x="0" y="0"/>
                      <a:ext cx="5262245" cy="3512185"/>
                    </a:xfrm>
                    <a:prstGeom prst="rect">
                      <a:avLst/>
                    </a:prstGeom>
                  </pic:spPr>
                </pic:pic>
              </a:graphicData>
            </a:graphic>
          </wp:inline>
        </w:drawing>
      </w:r>
    </w:p>
    <w:p>
      <w:pPr>
        <w:spacing w:line="600" w:lineRule="exact"/>
        <w:jc w:val="left"/>
        <w:rPr>
          <w:rFonts w:hint="eastAsia" w:ascii="黑体" w:hAnsi="黑体" w:eastAsia="黑体"/>
          <w:sz w:val="28"/>
          <w:szCs w:val="28"/>
          <w:shd w:val="pct10" w:color="auto" w:fill="FFFFFF"/>
        </w:rPr>
      </w:pPr>
    </w:p>
    <w:p>
      <w:pPr>
        <w:spacing w:line="600" w:lineRule="exact"/>
        <w:jc w:val="left"/>
        <w:rPr>
          <w:rFonts w:hint="eastAsia" w:ascii="黑体" w:hAnsi="黑体" w:eastAsia="黑体"/>
          <w:sz w:val="28"/>
          <w:szCs w:val="28"/>
          <w:shd w:val="pct10" w:color="auto" w:fill="FFFFFF"/>
        </w:rPr>
      </w:pPr>
    </w:p>
    <w:p>
      <w:pPr>
        <w:spacing w:line="600" w:lineRule="exact"/>
        <w:jc w:val="left"/>
        <w:rPr>
          <w:rFonts w:hint="eastAsia" w:ascii="黑体" w:hAnsi="黑体" w:eastAsia="黑体"/>
          <w:sz w:val="28"/>
          <w:szCs w:val="28"/>
          <w:shd w:val="pct10" w:color="auto" w:fill="FFFFFF"/>
        </w:rPr>
        <w:sectPr>
          <w:type w:val="continuous"/>
          <w:pgSz w:w="11906" w:h="16838"/>
          <w:pgMar w:top="1440" w:right="1800" w:bottom="1440" w:left="1800" w:header="851" w:footer="992" w:gutter="0"/>
          <w:cols w:space="425" w:num="1"/>
          <w:docGrid w:type="lines" w:linePitch="312" w:charSpace="0"/>
        </w:sectPr>
      </w:pPr>
    </w:p>
    <w:p>
      <w:pPr>
        <w:spacing w:line="600" w:lineRule="exact"/>
        <w:jc w:val="left"/>
        <w:rPr>
          <w:rFonts w:hint="eastAsia" w:ascii="黑体" w:hAnsi="黑体" w:eastAsia="黑体"/>
          <w:sz w:val="28"/>
          <w:szCs w:val="28"/>
          <w:shd w:val="pct10" w:color="auto" w:fill="FFFFFF"/>
        </w:rPr>
      </w:pPr>
    </w:p>
    <w:p>
      <w:pPr>
        <w:spacing w:line="600" w:lineRule="exact"/>
        <w:jc w:val="left"/>
        <w:rPr>
          <w:rFonts w:hint="eastAsia" w:ascii="黑体" w:hAnsi="黑体" w:eastAsia="黑体"/>
          <w:sz w:val="28"/>
          <w:szCs w:val="28"/>
          <w:shd w:val="pct10" w:color="auto" w:fill="FFFFFF"/>
        </w:rPr>
      </w:pPr>
    </w:p>
    <w:p>
      <w:pPr>
        <w:spacing w:line="600" w:lineRule="exact"/>
        <w:jc w:val="left"/>
        <w:rPr>
          <w:rFonts w:hint="eastAsia" w:asciiTheme="minorEastAsia" w:hAnsiTheme="minorEastAsia" w:eastAsiaTheme="minorEastAsia"/>
          <w:sz w:val="28"/>
          <w:szCs w:val="28"/>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spacing w:line="600" w:lineRule="exact"/>
        <w:jc w:val="left"/>
        <w:rPr>
          <w:rFonts w:ascii="黑体" w:hAnsi="黑体" w:eastAsia="黑体"/>
          <w:szCs w:val="21"/>
          <w:shd w:val="pct10" w:color="auto" w:fill="FFFFFF"/>
        </w:rPr>
      </w:pPr>
    </w:p>
    <w:p>
      <w:pPr>
        <w:jc w:val="center"/>
        <w:rPr>
          <w:rFonts w:hint="eastAsia" w:asciiTheme="minorEastAsia" w:hAnsiTheme="minorEastAsia"/>
          <w:b/>
          <w:sz w:val="36"/>
          <w:szCs w:val="36"/>
          <w:lang w:val="en-US" w:eastAsia="zh-CN"/>
        </w:rPr>
      </w:pPr>
      <w:r>
        <w:rPr>
          <w:rFonts w:hint="eastAsia" w:asciiTheme="minorEastAsia" w:hAnsiTheme="minorEastAsia"/>
          <w:b/>
          <w:sz w:val="36"/>
          <w:szCs w:val="36"/>
          <w:lang w:val="en-US" w:eastAsia="zh-CN"/>
        </w:rPr>
        <w:t>青岛市特种设备协会夏季送清凉活动</w:t>
      </w:r>
    </w:p>
    <w:p>
      <w:pPr>
        <w:ind w:firstLine="640" w:firstLineChars="200"/>
        <w:jc w:val="both"/>
        <w:rPr>
          <w:rFonts w:hint="eastAsia" w:asciiTheme="minorEastAsia" w:hAnsiTheme="minorEastAsia"/>
          <w:sz w:val="32"/>
          <w:szCs w:val="32"/>
          <w:lang w:val="en-US" w:eastAsia="zh-CN"/>
        </w:rPr>
      </w:pPr>
      <w:r>
        <w:rPr>
          <w:rFonts w:hint="eastAsia" w:asciiTheme="minorEastAsia" w:hAnsiTheme="minorEastAsia"/>
          <w:sz w:val="32"/>
          <w:szCs w:val="32"/>
          <w:lang w:val="en-US" w:eastAsia="zh-CN"/>
        </w:rPr>
        <w:t>炎炎夏日，挥汗如淋。为保障广大工人的生命安全和身心健康，确保特种设备生产工作的正常运行，防止炎热夏季一线职工高温中暑。8月9日，青岛市特种设备协会决定开展了“送清凉、送健康、送安全”慰问活动。</w:t>
      </w:r>
    </w:p>
    <w:p>
      <w:pPr>
        <w:ind w:firstLine="640" w:firstLineChars="200"/>
        <w:jc w:val="both"/>
        <w:rPr>
          <w:rFonts w:hint="eastAsia" w:asciiTheme="minorEastAsia" w:hAnsiTheme="minorEastAsia"/>
          <w:sz w:val="32"/>
          <w:szCs w:val="32"/>
          <w:lang w:val="en-US" w:eastAsia="zh-CN"/>
        </w:rPr>
      </w:pPr>
      <w:r>
        <w:rPr>
          <w:rFonts w:hint="eastAsia" w:asciiTheme="minorEastAsia" w:hAnsiTheme="minorEastAsia"/>
          <w:sz w:val="32"/>
          <w:szCs w:val="32"/>
          <w:lang w:val="en-US" w:eastAsia="zh-CN"/>
        </w:rPr>
        <w:t>入夏以来，青岛市特种设备协会领导高度重视防暑降温工作，由协会秘书处成员牵头组织，联合青岛市特种设备检验检测研究院、96333应急处置中心三方共同举办了“送清凉、送安全、送健康”活动，为一线工人发放防暑降温物资。青岛市特种设备协会解赞华秘书长、郑菁办公室主任、轮值会长单位青岛西奥电梯有限公司孙敏主任、并邀请市南市场监管局赵兵建科长、特检院刘海滨副院长、96333电梯应急处置中心刘泉江一行走访。</w:t>
      </w:r>
      <w:r>
        <w:rPr>
          <w:rFonts w:asciiTheme="minorEastAsia" w:hAnsiTheme="minorEastAsia"/>
          <w:kern w:val="0"/>
          <w:sz w:val="28"/>
          <w:szCs w:val="28"/>
        </w:rPr>
        <w:drawing>
          <wp:anchor distT="0" distB="0" distL="114300" distR="114300" simplePos="0" relativeHeight="251666432" behindDoc="1" locked="0" layoutInCell="1" allowOverlap="1">
            <wp:simplePos x="0" y="0"/>
            <wp:positionH relativeFrom="column">
              <wp:posOffset>1499870</wp:posOffset>
            </wp:positionH>
            <wp:positionV relativeFrom="paragraph">
              <wp:posOffset>2326640</wp:posOffset>
            </wp:positionV>
            <wp:extent cx="4096385" cy="2733675"/>
            <wp:effectExtent l="128270" t="90170" r="328295" b="338455"/>
            <wp:wrapTight wrapText="bothSides">
              <wp:wrapPolygon>
                <wp:start x="429" y="-712"/>
                <wp:lineTo x="-74" y="-411"/>
                <wp:lineTo x="-676" y="943"/>
                <wp:lineTo x="-676" y="21565"/>
                <wp:lineTo x="-275" y="23371"/>
                <wp:lineTo x="429" y="24124"/>
                <wp:lineTo x="22126" y="24124"/>
                <wp:lineTo x="22829" y="23371"/>
                <wp:lineTo x="23231" y="21565"/>
                <wp:lineTo x="23231" y="943"/>
                <wp:lineTo x="22728" y="-261"/>
                <wp:lineTo x="22126" y="-712"/>
                <wp:lineTo x="429" y="-712"/>
              </wp:wrapPolygon>
            </wp:wrapTight>
            <wp:docPr id="12" name="图片 12" descr="C:\Users\Administrator\Desktop\图片1111.png图片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图片1111.png图片1111"/>
                    <pic:cNvPicPr>
                      <a:picLocks noChangeAspect="1" noChangeArrowheads="1"/>
                    </pic:cNvPicPr>
                  </pic:nvPicPr>
                  <pic:blipFill>
                    <a:blip r:embed="rId9"/>
                    <a:srcRect/>
                    <a:stretch>
                      <a:fillRect/>
                    </a:stretch>
                  </pic:blipFill>
                  <pic:spPr>
                    <a:xfrm>
                      <a:off x="0" y="0"/>
                      <a:ext cx="4096385" cy="2733675"/>
                    </a:xfrm>
                    <a:prstGeom prst="rect">
                      <a:avLst/>
                    </a:prstGeom>
                    <a:ln>
                      <a:noFill/>
                    </a:ln>
                    <a:effectLst>
                      <a:outerShdw blurRad="292100" dist="139700" dir="2700000" algn="tl" rotWithShape="0">
                        <a:srgbClr val="333333">
                          <a:alpha val="65000"/>
                        </a:srgbClr>
                      </a:outerShdw>
                    </a:effectLst>
                  </pic:spPr>
                </pic:pic>
              </a:graphicData>
            </a:graphic>
          </wp:anchor>
        </w:drawing>
      </w:r>
    </w:p>
    <w:p>
      <w:pPr>
        <w:ind w:firstLine="640" w:firstLineChars="200"/>
        <w:jc w:val="both"/>
        <w:rPr>
          <w:rFonts w:hint="eastAsia" w:asciiTheme="minorEastAsia" w:hAnsiTheme="minorEastAsia"/>
          <w:sz w:val="32"/>
          <w:szCs w:val="32"/>
          <w:lang w:val="en-US" w:eastAsia="zh-CN"/>
        </w:rPr>
      </w:pPr>
      <w:r>
        <w:rPr>
          <w:rFonts w:hint="eastAsia" w:asciiTheme="minorEastAsia" w:hAnsiTheme="minorEastAsia"/>
          <w:sz w:val="32"/>
          <w:szCs w:val="32"/>
          <w:lang w:val="en-US" w:eastAsia="zh-CN"/>
        </w:rPr>
        <w:t xml:space="preserve"> 协会慰问组先后慰问了鲁菱电梯华仁大厦、通力电梯华润大厦、三菱青岛分公司国际金融中心在高温下坚守岗位一线工人职工，同时协会秘书处就防暑降温用品的发放作了具体的安排，把协会的关怀和温暖送到每位一线职工的手中。</w:t>
      </w:r>
    </w:p>
    <w:p>
      <w:pPr>
        <w:ind w:firstLine="640" w:firstLineChars="200"/>
        <w:jc w:val="both"/>
        <w:rPr>
          <w:rFonts w:hint="eastAsia" w:asciiTheme="minorEastAsia" w:hAnsiTheme="minorEastAsia"/>
          <w:sz w:val="32"/>
          <w:szCs w:val="32"/>
          <w:lang w:val="en-US" w:eastAsia="zh-CN"/>
        </w:rPr>
      </w:pPr>
      <w:r>
        <w:rPr>
          <w:rFonts w:hint="eastAsia" w:asciiTheme="minorEastAsia" w:hAnsiTheme="minorEastAsia"/>
          <w:sz w:val="32"/>
          <w:szCs w:val="32"/>
          <w:lang w:val="en-US" w:eastAsia="zh-CN"/>
        </w:rPr>
        <w:t xml:space="preserve">本次送清凉活动向一线职工发放毛巾、西瓜、矿泉水、风油精、藿香正气液、等防暑降温物品若干。每到一处，慰问组向奋战在高温一线的工人职工致以亲切的问候，并详细了解他们的工作、施工现场情况、生活情况，所付出的辛勤劳动、作出的贡献表示感谢。同时要注意防暑降温，确保身体健康。企业、施工单位切实做好防暑降温工作，科学安排作息时间，合理调整工作班次，确保工作防暑"两不误"。 </w:t>
      </w:r>
    </w:p>
    <w:p>
      <w:pPr>
        <w:ind w:firstLine="560" w:firstLineChars="200"/>
        <w:jc w:val="both"/>
        <w:rPr>
          <w:rFonts w:hint="eastAsia" w:asciiTheme="minorEastAsia" w:hAnsiTheme="minorEastAsia"/>
          <w:sz w:val="32"/>
          <w:szCs w:val="32"/>
          <w:lang w:val="en-US" w:eastAsia="zh-CN"/>
        </w:rPr>
      </w:pPr>
      <w:r>
        <w:rPr>
          <w:rFonts w:asciiTheme="minorEastAsia" w:hAnsiTheme="minorEastAsia"/>
          <w:kern w:val="0"/>
          <w:sz w:val="28"/>
          <w:szCs w:val="28"/>
        </w:rPr>
        <w:drawing>
          <wp:anchor distT="0" distB="0" distL="114300" distR="114300" simplePos="0" relativeHeight="251675648" behindDoc="1" locked="0" layoutInCell="1" allowOverlap="1">
            <wp:simplePos x="0" y="0"/>
            <wp:positionH relativeFrom="column">
              <wp:posOffset>1621155</wp:posOffset>
            </wp:positionH>
            <wp:positionV relativeFrom="paragraph">
              <wp:posOffset>441325</wp:posOffset>
            </wp:positionV>
            <wp:extent cx="4035425" cy="3039110"/>
            <wp:effectExtent l="128270" t="90170" r="370205" b="337820"/>
            <wp:wrapTight wrapText="bothSides">
              <wp:wrapPolygon>
                <wp:start x="435" y="-641"/>
                <wp:lineTo x="-75" y="-370"/>
                <wp:lineTo x="-687" y="848"/>
                <wp:lineTo x="-687" y="21564"/>
                <wp:lineTo x="-279" y="23189"/>
                <wp:lineTo x="435" y="23866"/>
                <wp:lineTo x="22154" y="23866"/>
                <wp:lineTo x="22868" y="23189"/>
                <wp:lineTo x="23276" y="21564"/>
                <wp:lineTo x="23276" y="848"/>
                <wp:lineTo x="22766" y="-235"/>
                <wp:lineTo x="22154" y="-641"/>
                <wp:lineTo x="435" y="-641"/>
              </wp:wrapPolygon>
            </wp:wrapTight>
            <wp:docPr id="13" name="图片 13" descr="C:\Users\Administrator\Desktop\图片1414414.png图片141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图片1414414.png图片1414414"/>
                    <pic:cNvPicPr>
                      <a:picLocks noChangeAspect="1" noChangeArrowheads="1"/>
                    </pic:cNvPicPr>
                  </pic:nvPicPr>
                  <pic:blipFill>
                    <a:blip r:embed="rId10"/>
                    <a:srcRect/>
                    <a:stretch>
                      <a:fillRect/>
                    </a:stretch>
                  </pic:blipFill>
                  <pic:spPr>
                    <a:xfrm>
                      <a:off x="0" y="0"/>
                      <a:ext cx="4035425" cy="303911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asciiTheme="minorEastAsia" w:hAnsiTheme="minorEastAsia"/>
          <w:sz w:val="32"/>
          <w:szCs w:val="32"/>
          <w:lang w:val="en-US" w:eastAsia="zh-CN"/>
        </w:rPr>
        <w:t>这一举措充分体现了协会“自省自力、规范管理、稳步发展、服务会员的”服务宗旨。也体现了协会领导对一线职工的关心和爱护，在提升职工凝聚力和向心力的同时能更好地为安全保驾护航。</w:t>
      </w:r>
    </w:p>
    <w:p>
      <w:pPr>
        <w:pStyle w:val="13"/>
        <w:rPr>
          <w:rFonts w:hint="eastAsia" w:asciiTheme="minorEastAsia" w:hAnsiTheme="minorEastAsia"/>
          <w:kern w:val="0"/>
          <w:sz w:val="28"/>
          <w:szCs w:val="28"/>
        </w:rPr>
        <w:sectPr>
          <w:type w:val="continuous"/>
          <w:pgSz w:w="11906" w:h="16838"/>
          <w:pgMar w:top="1440" w:right="1800" w:bottom="1440" w:left="1800" w:header="851" w:footer="992" w:gutter="0"/>
          <w:cols w:space="425" w:num="1"/>
          <w:docGrid w:type="lines" w:linePitch="312" w:charSpace="0"/>
        </w:sect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rPr>
          <w:rFonts w:hint="eastAsia" w:ascii="楷体" w:hAnsi="楷体" w:eastAsia="楷体" w:cs="楷体"/>
          <w:i w:val="0"/>
          <w:caps w:val="0"/>
          <w:color w:val="000000"/>
          <w:spacing w:val="0"/>
          <w:sz w:val="27"/>
          <w:szCs w:val="27"/>
          <w:shd w:val="clear" w:fill="FFFFFF"/>
          <w:lang w:val="en-US" w:eastAsia="zh-CN"/>
        </w:rPr>
      </w:pPr>
      <w:r>
        <w:rPr>
          <w:rFonts w:ascii="楷体" w:hAnsi="楷体" w:eastAsia="楷体" w:cs="楷体"/>
          <w:i w:val="0"/>
          <w:caps w:val="0"/>
          <w:color w:val="000000"/>
          <w:spacing w:val="0"/>
          <w:sz w:val="27"/>
          <w:szCs w:val="27"/>
          <w:shd w:val="clear" w:fill="FFFFFF"/>
        </w:rPr>
        <w:t> </w:t>
      </w:r>
      <w:r>
        <w:rPr>
          <w:rFonts w:hint="eastAsia" w:ascii="楷体" w:hAnsi="楷体" w:eastAsia="楷体" w:cs="楷体"/>
          <w:i w:val="0"/>
          <w:caps w:val="0"/>
          <w:color w:val="000000"/>
          <w:spacing w:val="0"/>
          <w:sz w:val="27"/>
          <w:szCs w:val="27"/>
          <w:shd w:val="clear" w:fill="FFFFFF"/>
          <w:lang w:val="en-US" w:eastAsia="zh-CN"/>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900" w:lineRule="atLeast"/>
        <w:ind w:left="0" w:right="0" w:firstLine="0"/>
        <w:jc w:val="both"/>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专题报道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900" w:lineRule="atLeast"/>
        <w:ind w:left="2466" w:leftChars="142" w:right="0" w:hanging="2168" w:hangingChars="600"/>
        <w:jc w:val="both"/>
        <w:rPr>
          <w:rFonts w:hint="eastAsia" w:ascii="楷体" w:hAnsi="楷体" w:eastAsia="楷体" w:cs="楷体"/>
          <w:i w:val="0"/>
          <w:caps w:val="0"/>
          <w:color w:val="000000"/>
          <w:spacing w:val="0"/>
          <w:sz w:val="27"/>
          <w:szCs w:val="27"/>
          <w:shd w:val="clear" w:fill="FFFFFF"/>
          <w:lang w:val="en-US" w:eastAsia="zh-CN"/>
        </w:rPr>
      </w:pPr>
      <w:r>
        <w:rPr>
          <w:rFonts w:hint="eastAsia" w:asciiTheme="minorEastAsia" w:hAnsiTheme="minorEastAsia" w:eastAsiaTheme="minorEastAsia" w:cstheme="minorBidi"/>
          <w:b/>
          <w:kern w:val="2"/>
          <w:sz w:val="36"/>
          <w:szCs w:val="36"/>
          <w:lang w:val="en-US" w:eastAsia="zh-CN" w:bidi="ar-SA"/>
        </w:rPr>
        <w:t>青岛市中小学生“生命至上、健康成长，安全乘梯和谐万家”动漫作品大赛，正式启动</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640" w:firstLineChars="200"/>
        <w:rPr>
          <w:rFonts w:hint="eastAsia" w:asciiTheme="minorEastAsia" w:hAnsiTheme="minorEastAsia" w:eastAsiaTheme="minorEastAsia" w:cstheme="minorBidi"/>
          <w:kern w:val="2"/>
          <w:sz w:val="32"/>
          <w:szCs w:val="32"/>
          <w:lang w:val="en-US" w:eastAsia="zh-CN" w:bidi="ar-SA"/>
        </w:rPr>
      </w:pPr>
      <w:r>
        <w:rPr>
          <w:rFonts w:hint="eastAsia" w:asciiTheme="minorEastAsia" w:hAnsiTheme="minorEastAsia" w:eastAsiaTheme="minorEastAsia" w:cstheme="minorBidi"/>
          <w:kern w:val="2"/>
          <w:sz w:val="32"/>
          <w:szCs w:val="32"/>
          <w:lang w:val="en-US" w:eastAsia="zh-CN" w:bidi="ar-SA"/>
        </w:rPr>
        <w:t>为进一步推进全市电梯安全教育和电梯文化建设，广泛普及电梯安全知识，提高青少年电梯安全应急素质和防范能力，打造平安和谐的社会环境、校园环境，今日，青岛市教育局、青岛市质量技术监督局联合主办了2018年青岛市中小学生“生命至上、健康成长，安全乘梯、和谐万家”动漫作品大赛，本次大赛由青岛市特种设备检验检测研究院和青岛市电梯安全应急和监控中心协办、青岛市特种设备协会和青岛市动漫创意产业协会具体承办。</w:t>
      </w:r>
      <w:r>
        <w:rPr>
          <w:rFonts w:asciiTheme="minorEastAsia" w:hAnsiTheme="minorEastAsia"/>
          <w:kern w:val="0"/>
          <w:sz w:val="28"/>
          <w:szCs w:val="28"/>
        </w:rPr>
        <w:drawing>
          <wp:anchor distT="0" distB="0" distL="114300" distR="114300" simplePos="0" relativeHeight="251694080" behindDoc="1" locked="0" layoutInCell="1" allowOverlap="1">
            <wp:simplePos x="0" y="0"/>
            <wp:positionH relativeFrom="column">
              <wp:posOffset>1621155</wp:posOffset>
            </wp:positionH>
            <wp:positionV relativeFrom="paragraph">
              <wp:posOffset>2285365</wp:posOffset>
            </wp:positionV>
            <wp:extent cx="4035425" cy="2688590"/>
            <wp:effectExtent l="128270" t="90170" r="332105" b="326390"/>
            <wp:wrapTight wrapText="bothSides">
              <wp:wrapPolygon>
                <wp:start x="435" y="-724"/>
                <wp:lineTo x="-75" y="-418"/>
                <wp:lineTo x="-687" y="959"/>
                <wp:lineTo x="-687" y="22233"/>
                <wp:lineTo x="27" y="23763"/>
                <wp:lineTo x="435" y="24069"/>
                <wp:lineTo x="22154" y="24069"/>
                <wp:lineTo x="22562" y="23763"/>
                <wp:lineTo x="23276" y="22080"/>
                <wp:lineTo x="23276" y="959"/>
                <wp:lineTo x="22766" y="-265"/>
                <wp:lineTo x="22154" y="-724"/>
                <wp:lineTo x="435" y="-724"/>
              </wp:wrapPolygon>
            </wp:wrapTight>
            <wp:docPr id="14" name="图片 14" descr="C:\Users\Administrator\Desktop\0021.png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0021.png0021"/>
                    <pic:cNvPicPr>
                      <a:picLocks noChangeAspect="1" noChangeArrowheads="1"/>
                    </pic:cNvPicPr>
                  </pic:nvPicPr>
                  <pic:blipFill>
                    <a:blip r:embed="rId11"/>
                    <a:srcRect/>
                    <a:stretch>
                      <a:fillRect/>
                    </a:stretch>
                  </pic:blipFill>
                  <pic:spPr>
                    <a:xfrm>
                      <a:off x="0" y="0"/>
                      <a:ext cx="4035425" cy="2688590"/>
                    </a:xfrm>
                    <a:prstGeom prst="rect">
                      <a:avLst/>
                    </a:prstGeom>
                    <a:ln>
                      <a:noFill/>
                    </a:ln>
                    <a:effectLst>
                      <a:outerShdw blurRad="292100" dist="139700" dir="2700000" algn="tl" rotWithShape="0">
                        <a:srgbClr val="333333">
                          <a:alpha val="65000"/>
                        </a:srgbClr>
                      </a:outerShdw>
                    </a:effectLst>
                  </pic:spPr>
                </pic:pic>
              </a:graphicData>
            </a:graphic>
          </wp:anchor>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rPr>
          <w:rFonts w:hint="eastAsia" w:asciiTheme="minorEastAsia" w:hAnsiTheme="minorEastAsia" w:eastAsiaTheme="minorEastAsia" w:cstheme="minorBidi"/>
          <w:kern w:val="2"/>
          <w:sz w:val="32"/>
          <w:szCs w:val="32"/>
          <w:lang w:val="en-US" w:eastAsia="zh-CN" w:bidi="ar-SA"/>
        </w:rPr>
      </w:pPr>
      <w:r>
        <w:rPr>
          <w:rFonts w:hint="eastAsia" w:asciiTheme="minorEastAsia" w:hAnsiTheme="minorEastAsia" w:eastAsiaTheme="minorEastAsia" w:cstheme="minorBidi"/>
          <w:kern w:val="2"/>
          <w:sz w:val="32"/>
          <w:szCs w:val="32"/>
          <w:lang w:val="en-US" w:eastAsia="zh-CN" w:bidi="ar-SA"/>
        </w:rPr>
        <w:t xml:space="preserve">  </w:t>
      </w:r>
      <w:r>
        <w:rPr>
          <w:rFonts w:hint="eastAsia" w:asciiTheme="minorEastAsia" w:hAnsiTheme="minorEastAsia" w:cstheme="minorBidi"/>
          <w:kern w:val="2"/>
          <w:sz w:val="32"/>
          <w:szCs w:val="32"/>
          <w:lang w:val="en-US" w:eastAsia="zh-CN" w:bidi="ar-SA"/>
        </w:rPr>
        <w:t xml:space="preserve">  </w:t>
      </w:r>
      <w:r>
        <w:rPr>
          <w:rFonts w:hint="eastAsia" w:asciiTheme="minorEastAsia" w:hAnsiTheme="minorEastAsia" w:eastAsiaTheme="minorEastAsia" w:cstheme="minorBidi"/>
          <w:kern w:val="2"/>
          <w:sz w:val="32"/>
          <w:szCs w:val="32"/>
          <w:lang w:val="en-US" w:eastAsia="zh-CN" w:bidi="ar-SA"/>
        </w:rPr>
        <w:t>9月21日下午在青岛华夏职业学校5楼会议室隆重举行了“ 2018年青岛小学生“生命至上、健康成长，安全乘梯、和谐万家”动漫作品大赛启动仪式。青岛市质量技术监督局副局长王雷、特监处处长李杰、青岛市教育局安保处处长宋天顺，青岛市特种设备检验检测研究院院长吕良广、青岛市电梯安全应急和监控中心主任李成波，青岛市特种设备协会秘书长孙贞安、青岛市动漫创意产业协会会长刘毓琮、青岛华夏职业学校校长陈作亮等领导和全市中小学生学生代表共计150余人出席启动仪式。启动仪式由青岛市特种设备协会轮值会长青岛西奥工程有限公司何圣忠主持。</w:t>
      </w:r>
      <w:r>
        <w:rPr>
          <w:rFonts w:asciiTheme="minorEastAsia" w:hAnsiTheme="minorEastAsia"/>
          <w:kern w:val="0"/>
          <w:sz w:val="28"/>
          <w:szCs w:val="28"/>
        </w:rPr>
        <w:drawing>
          <wp:anchor distT="0" distB="0" distL="114300" distR="114300" simplePos="0" relativeHeight="251804672" behindDoc="1" locked="0" layoutInCell="1" allowOverlap="1">
            <wp:simplePos x="0" y="0"/>
            <wp:positionH relativeFrom="column">
              <wp:posOffset>1623060</wp:posOffset>
            </wp:positionH>
            <wp:positionV relativeFrom="paragraph">
              <wp:posOffset>4578985</wp:posOffset>
            </wp:positionV>
            <wp:extent cx="4032250" cy="2688590"/>
            <wp:effectExtent l="128270" t="90170" r="335280" b="326390"/>
            <wp:wrapTight wrapText="bothSides">
              <wp:wrapPolygon>
                <wp:start x="435" y="-724"/>
                <wp:lineTo x="-75" y="-418"/>
                <wp:lineTo x="-687" y="959"/>
                <wp:lineTo x="-687" y="22233"/>
                <wp:lineTo x="27" y="23763"/>
                <wp:lineTo x="435" y="24069"/>
                <wp:lineTo x="22171" y="24069"/>
                <wp:lineTo x="22580" y="23763"/>
                <wp:lineTo x="23294" y="22080"/>
                <wp:lineTo x="23294" y="959"/>
                <wp:lineTo x="22784" y="-265"/>
                <wp:lineTo x="22171" y="-724"/>
                <wp:lineTo x="435" y="-724"/>
              </wp:wrapPolygon>
            </wp:wrapTight>
            <wp:docPr id="16" name="图片 16" descr="C:\Users\Administrator\Desktop\003.jp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003.jpg003"/>
                    <pic:cNvPicPr>
                      <a:picLocks noChangeAspect="1" noChangeArrowheads="1"/>
                    </pic:cNvPicPr>
                  </pic:nvPicPr>
                  <pic:blipFill>
                    <a:blip r:embed="rId12"/>
                    <a:srcRect/>
                    <a:stretch>
                      <a:fillRect/>
                    </a:stretch>
                  </pic:blipFill>
                  <pic:spPr>
                    <a:xfrm>
                      <a:off x="0" y="0"/>
                      <a:ext cx="4032250" cy="2688590"/>
                    </a:xfrm>
                    <a:prstGeom prst="rect">
                      <a:avLst/>
                    </a:prstGeom>
                    <a:ln>
                      <a:noFill/>
                    </a:ln>
                    <a:effectLst>
                      <a:outerShdw blurRad="292100" dist="139700" dir="2700000" algn="tl" rotWithShape="0">
                        <a:srgbClr val="333333">
                          <a:alpha val="65000"/>
                        </a:srgbClr>
                      </a:outerShdw>
                    </a:effectLst>
                  </pic:spPr>
                </pic:pic>
              </a:graphicData>
            </a:graphic>
          </wp:anchor>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rPr>
          <w:rFonts w:hint="eastAsia" w:asciiTheme="minorEastAsia" w:hAnsiTheme="minorEastAsia" w:eastAsiaTheme="minorEastAsia" w:cstheme="minorBidi"/>
          <w:kern w:val="2"/>
          <w:sz w:val="32"/>
          <w:szCs w:val="32"/>
          <w:lang w:val="en-US" w:eastAsia="zh-CN" w:bidi="ar-SA"/>
        </w:rPr>
      </w:pPr>
      <w:r>
        <w:rPr>
          <w:rFonts w:hint="eastAsia" w:asciiTheme="minorEastAsia" w:hAnsiTheme="minorEastAsia" w:eastAsiaTheme="minorEastAsia" w:cstheme="minorBidi"/>
          <w:kern w:val="2"/>
          <w:sz w:val="32"/>
          <w:szCs w:val="32"/>
          <w:lang w:val="en-US" w:eastAsia="zh-CN" w:bidi="ar-SA"/>
        </w:rPr>
        <w:t xml:space="preserve">  </w:t>
      </w:r>
      <w:r>
        <w:rPr>
          <w:rFonts w:hint="eastAsia" w:asciiTheme="minorEastAsia" w:hAnsiTheme="minorEastAsia" w:cstheme="minorBidi"/>
          <w:kern w:val="2"/>
          <w:sz w:val="32"/>
          <w:szCs w:val="32"/>
          <w:lang w:val="en-US" w:eastAsia="zh-CN" w:bidi="ar-SA"/>
        </w:rPr>
        <w:t xml:space="preserve"> </w:t>
      </w:r>
      <w:r>
        <w:rPr>
          <w:rFonts w:hint="eastAsia" w:asciiTheme="minorEastAsia" w:hAnsiTheme="minorEastAsia" w:eastAsiaTheme="minorEastAsia" w:cstheme="minorBidi"/>
          <w:kern w:val="2"/>
          <w:sz w:val="32"/>
          <w:szCs w:val="32"/>
          <w:lang w:val="en-US" w:eastAsia="zh-CN" w:bidi="ar-SA"/>
        </w:rPr>
        <w:t xml:space="preserve"> 仪式上，市动漫协会付萍秘书长宣读“2018年青岛市中小学生’生命至上、健康成长，安全乘梯、和谐万家’动漫作品大赛通知”，为在场师生讲解详细介绍了动漫大赛的活动背景及活动方案。市教育局安全保卫处 宋天顺处长领导为本次大赛代表发言，为推进全市学校安全教育和安全文化建设，广泛普及安全知识，提高学生安全素质和防范能力，打造平安和谐的校园环境，起到了良好的作用。同时，通过动漫创作培养和提高学生感受美、鉴赏美、追求人生趣味和理想的能力，有利于学生健康活泼全面发展，陶冶学生高尚道德情操。</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800"/>
        <w:rPr>
          <w:rFonts w:hint="eastAsia" w:asciiTheme="minorEastAsia" w:hAnsiTheme="minorEastAsia" w:eastAsiaTheme="minorEastAsia" w:cstheme="minorBidi"/>
          <w:b/>
          <w:kern w:val="2"/>
          <w:sz w:val="36"/>
          <w:szCs w:val="36"/>
          <w:lang w:val="en-US" w:eastAsia="zh-CN" w:bidi="ar-SA"/>
        </w:rPr>
      </w:pPr>
      <w:r>
        <w:rPr>
          <w:rFonts w:hint="eastAsia" w:asciiTheme="minorEastAsia" w:hAnsiTheme="minorEastAsia" w:eastAsiaTheme="minorEastAsia" w:cstheme="minorBidi"/>
          <w:kern w:val="2"/>
          <w:sz w:val="32"/>
          <w:szCs w:val="32"/>
          <w:lang w:val="en-US" w:eastAsia="zh-CN" w:bidi="ar-SA"/>
        </w:rPr>
        <w:t>青岛市质量技术监督局副局长王雷做动员发言，他强调希望广大中小学生积极参与，踊跃投稿，多创造一些好的漫画作品，并能从中学到知识，受到启发，确保承梯安全。也希望广大中小学生能当好电梯安全的监督者和宣传者，带动家长和身边朋友安全文明使用电梯，以此来推动全社会更多关注乘梯安全，实现文明出行、正确乘梯，营造“电梯安全、你我有责”的良好社会氛围。最后，青岛市质量技术监督局副局长王雷宣布2018青岛市中小学生“生命至上、健康成长，安全乘梯、和谐万家”动漫作品大赛，活动月正式启动。</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right="0" w:firstLine="361" w:firstLineChars="100"/>
        <w:rPr>
          <w:rFonts w:hint="eastAsia" w:asciiTheme="minorEastAsia" w:hAnsiTheme="minorEastAsia" w:eastAsiaTheme="minorEastAsia" w:cstheme="minorBidi"/>
          <w:b/>
          <w:kern w:val="2"/>
          <w:sz w:val="36"/>
          <w:szCs w:val="36"/>
          <w:lang w:val="en-US" w:eastAsia="zh-CN" w:bidi="ar-SA"/>
        </w:rPr>
      </w:pPr>
      <w:r>
        <w:rPr>
          <w:rFonts w:hint="eastAsia" w:asciiTheme="minorEastAsia" w:hAnsiTheme="minorEastAsia" w:eastAsiaTheme="minorEastAsia" w:cstheme="minorBidi"/>
          <w:b/>
          <w:kern w:val="2"/>
          <w:sz w:val="36"/>
          <w:szCs w:val="36"/>
          <w:lang w:val="en-US" w:eastAsia="zh-CN" w:bidi="ar-SA"/>
        </w:rPr>
        <w:t>走进名企“取经” “电梯热”受追捧 2018我市首届中小学“安全乘梯”动漫大赛火热启动</w:t>
      </w:r>
    </w:p>
    <w:p>
      <w:pPr>
        <w:keepNext w:val="0"/>
        <w:keepLines w:val="0"/>
        <w:widowControl/>
        <w:suppressLineNumbers w:val="0"/>
        <w:jc w:val="left"/>
        <w:rPr>
          <w:rFonts w:hint="eastAsia" w:asciiTheme="minorEastAsia" w:hAnsiTheme="minorEastAsia" w:eastAsiaTheme="minorEastAsia" w:cstheme="minorBidi"/>
          <w:kern w:val="2"/>
          <w:sz w:val="32"/>
          <w:szCs w:val="32"/>
          <w:lang w:val="en-US" w:eastAsia="zh-CN" w:bidi="ar-SA"/>
        </w:rPr>
      </w:pPr>
      <w:r>
        <w:rPr>
          <w:rFonts w:hint="eastAsia" w:ascii="宋体" w:hAnsi="宋体" w:eastAsia="宋体" w:cs="宋体"/>
          <w:i w:val="0"/>
          <w:caps w:val="0"/>
          <w:color w:val="000000"/>
          <w:spacing w:val="0"/>
          <w:kern w:val="0"/>
          <w:sz w:val="21"/>
          <w:szCs w:val="21"/>
          <w:shd w:val="clear" w:fill="FFFFFF"/>
          <w:lang w:val="en-US" w:eastAsia="zh-CN" w:bidi="ar"/>
        </w:rPr>
        <w:t xml:space="preserve">     </w:t>
      </w:r>
      <w:r>
        <w:rPr>
          <w:rFonts w:hint="eastAsia" w:asciiTheme="minorEastAsia" w:hAnsiTheme="minorEastAsia" w:eastAsiaTheme="minorEastAsia" w:cstheme="minorBidi"/>
          <w:kern w:val="2"/>
          <w:sz w:val="32"/>
          <w:szCs w:val="32"/>
          <w:lang w:val="en-US" w:eastAsia="zh-CN" w:bidi="ar-SA"/>
        </w:rPr>
        <w:t>为宣传“生命至上、健康成长，安全乘梯、和谐万家”的理念，提高青少年电梯安全应急素质和防范能力，青岛市质量技术监督局、青岛市教育局联合主办的2018年青岛市中小学生“生命至上、健康成长，安全乘梯、和谐万家”动漫作品大赛活动近日正式启动，掀起了全市电梯安全教育和电梯文化建设的关注热潮。</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rPr>
          <w:rFonts w:hint="eastAsia" w:asciiTheme="minorEastAsia" w:hAnsiTheme="minorEastAsia" w:eastAsiaTheme="minorEastAsia" w:cstheme="minorBidi"/>
          <w:kern w:val="2"/>
          <w:sz w:val="32"/>
          <w:szCs w:val="32"/>
          <w:lang w:val="en-US" w:eastAsia="zh-CN" w:bidi="ar-SA"/>
        </w:rPr>
      </w:pPr>
      <w:r>
        <w:rPr>
          <w:rFonts w:hint="eastAsia" w:asciiTheme="minorEastAsia" w:hAnsiTheme="minorEastAsia" w:eastAsiaTheme="minorEastAsia" w:cstheme="minorBidi"/>
          <w:kern w:val="2"/>
          <w:sz w:val="32"/>
          <w:szCs w:val="32"/>
          <w:lang w:val="en-US" w:eastAsia="zh-CN" w:bidi="ar-SA"/>
        </w:rPr>
        <w:t xml:space="preserve">  </w:t>
      </w:r>
      <w:r>
        <w:rPr>
          <w:rFonts w:hint="eastAsia" w:asciiTheme="minorEastAsia" w:hAnsiTheme="minorEastAsia" w:cstheme="minorBidi"/>
          <w:kern w:val="2"/>
          <w:sz w:val="32"/>
          <w:szCs w:val="32"/>
          <w:lang w:val="en-US" w:eastAsia="zh-CN" w:bidi="ar-SA"/>
        </w:rPr>
        <w:t xml:space="preserve"> </w:t>
      </w:r>
      <w:r>
        <w:rPr>
          <w:rFonts w:hint="eastAsia" w:asciiTheme="minorEastAsia" w:hAnsiTheme="minorEastAsia" w:eastAsiaTheme="minorEastAsia" w:cstheme="minorBidi"/>
          <w:kern w:val="2"/>
          <w:sz w:val="32"/>
          <w:szCs w:val="32"/>
          <w:lang w:val="en-US" w:eastAsia="zh-CN" w:bidi="ar-SA"/>
        </w:rPr>
        <w:t>作为本次活动的重要板块之一，“电梯安全”企业行活动邀请了青岛市技师学院学生走出校门，来到了拥有百年核心技术的跨国性公司——尼得科电梯（青岛）有限公司进行了参观与交流活动，“既学习了知识，开阔了视野，还增加了对当下电梯行业发展的一些深入思考，从而为提升专业技能打下了实践基础。”对于如此“一举多得”的好活动，企业协会学校等各方纷纷点赞。</w:t>
      </w:r>
      <w:r>
        <w:rPr>
          <w:rFonts w:asciiTheme="minorEastAsia" w:hAnsiTheme="minorEastAsia"/>
          <w:kern w:val="0"/>
          <w:sz w:val="28"/>
          <w:szCs w:val="28"/>
        </w:rPr>
        <w:drawing>
          <wp:anchor distT="0" distB="0" distL="114300" distR="114300" simplePos="0" relativeHeight="251952128" behindDoc="1" locked="0" layoutInCell="1" allowOverlap="1">
            <wp:simplePos x="0" y="0"/>
            <wp:positionH relativeFrom="column">
              <wp:posOffset>1847215</wp:posOffset>
            </wp:positionH>
            <wp:positionV relativeFrom="paragraph">
              <wp:posOffset>1012825</wp:posOffset>
            </wp:positionV>
            <wp:extent cx="3584575" cy="2688590"/>
            <wp:effectExtent l="128270" t="90170" r="344805" b="326390"/>
            <wp:wrapTight wrapText="bothSides">
              <wp:wrapPolygon>
                <wp:start x="490" y="-724"/>
                <wp:lineTo x="-84" y="-418"/>
                <wp:lineTo x="-773" y="959"/>
                <wp:lineTo x="-773" y="22233"/>
                <wp:lineTo x="31" y="23763"/>
                <wp:lineTo x="490" y="24069"/>
                <wp:lineTo x="22185" y="24069"/>
                <wp:lineTo x="22645" y="23763"/>
                <wp:lineTo x="23448" y="22080"/>
                <wp:lineTo x="23448" y="959"/>
                <wp:lineTo x="22874" y="-265"/>
                <wp:lineTo x="22185" y="-724"/>
                <wp:lineTo x="490" y="-724"/>
              </wp:wrapPolygon>
            </wp:wrapTight>
            <wp:docPr id="17" name="图片 17" descr="C:\Users\Administrator\Desktop\001.jp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001.jpg001"/>
                    <pic:cNvPicPr>
                      <a:picLocks noChangeAspect="1" noChangeArrowheads="1"/>
                    </pic:cNvPicPr>
                  </pic:nvPicPr>
                  <pic:blipFill>
                    <a:blip r:embed="rId13"/>
                    <a:srcRect/>
                    <a:stretch>
                      <a:fillRect/>
                    </a:stretch>
                  </pic:blipFill>
                  <pic:spPr>
                    <a:xfrm>
                      <a:off x="0" y="0"/>
                      <a:ext cx="3584575" cy="2688590"/>
                    </a:xfrm>
                    <a:prstGeom prst="rect">
                      <a:avLst/>
                    </a:prstGeom>
                    <a:ln>
                      <a:noFill/>
                    </a:ln>
                    <a:effectLst>
                      <a:outerShdw blurRad="292100" dist="139700" dir="2700000" algn="tl" rotWithShape="0">
                        <a:srgbClr val="333333">
                          <a:alpha val="65000"/>
                        </a:srgbClr>
                      </a:outerShdw>
                    </a:effectLst>
                  </pic:spPr>
                </pic:pic>
              </a:graphicData>
            </a:graphic>
          </wp:anchor>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rPr>
          <w:rFonts w:hint="eastAsia" w:ascii="宋体" w:hAnsi="宋体" w:eastAsia="宋体" w:cs="宋体"/>
          <w:i w:val="0"/>
          <w:caps w:val="0"/>
          <w:color w:val="000000"/>
          <w:spacing w:val="0"/>
          <w:sz w:val="32"/>
          <w:szCs w:val="32"/>
        </w:rPr>
      </w:pPr>
      <w:r>
        <w:rPr>
          <w:rFonts w:hint="eastAsia" w:ascii="宋体" w:hAnsi="宋体" w:eastAsia="宋体" w:cs="宋体"/>
          <w:b/>
          <w:i w:val="0"/>
          <w:caps w:val="0"/>
          <w:color w:val="000000"/>
          <w:spacing w:val="0"/>
          <w:sz w:val="32"/>
          <w:szCs w:val="32"/>
          <w:shd w:val="clear" w:fill="FFFFFF"/>
        </w:rPr>
        <w:t>学生进名企变“粉丝”助力参赛</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rPr>
          <w:rFonts w:hint="eastAsia" w:asciiTheme="minorEastAsia" w:hAnsiTheme="minorEastAsia" w:eastAsiaTheme="minorEastAsia" w:cstheme="minorBidi"/>
          <w:kern w:val="2"/>
          <w:sz w:val="32"/>
          <w:szCs w:val="32"/>
          <w:lang w:val="en-US" w:eastAsia="zh-CN" w:bidi="ar-SA"/>
        </w:rPr>
      </w:pPr>
      <w:r>
        <w:rPr>
          <w:rFonts w:asciiTheme="minorEastAsia" w:hAnsiTheme="minorEastAsia"/>
          <w:kern w:val="0"/>
          <w:sz w:val="28"/>
          <w:szCs w:val="28"/>
        </w:rPr>
        <w:drawing>
          <wp:anchor distT="0" distB="0" distL="114300" distR="114300" simplePos="0" relativeHeight="254311424" behindDoc="1" locked="0" layoutInCell="1" allowOverlap="1">
            <wp:simplePos x="0" y="0"/>
            <wp:positionH relativeFrom="column">
              <wp:posOffset>1847850</wp:posOffset>
            </wp:positionH>
            <wp:positionV relativeFrom="paragraph">
              <wp:posOffset>4323080</wp:posOffset>
            </wp:positionV>
            <wp:extent cx="3583940" cy="2386965"/>
            <wp:effectExtent l="128270" t="90170" r="326390" b="342265"/>
            <wp:wrapTight wrapText="bothSides">
              <wp:wrapPolygon>
                <wp:start x="490" y="-816"/>
                <wp:lineTo x="-84" y="-471"/>
                <wp:lineTo x="-773" y="1080"/>
                <wp:lineTo x="-773" y="22284"/>
                <wp:lineTo x="31" y="24008"/>
                <wp:lineTo x="490" y="24352"/>
                <wp:lineTo x="22189" y="24352"/>
                <wp:lineTo x="22649" y="24008"/>
                <wp:lineTo x="23452" y="22111"/>
                <wp:lineTo x="23452" y="1080"/>
                <wp:lineTo x="22878" y="-299"/>
                <wp:lineTo x="22189" y="-816"/>
                <wp:lineTo x="490" y="-816"/>
              </wp:wrapPolygon>
            </wp:wrapTight>
            <wp:docPr id="22" name="图片 22" descr="C:\Users\Administrator\Desktop\002.jp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002.jpg002"/>
                    <pic:cNvPicPr>
                      <a:picLocks noChangeAspect="1" noChangeArrowheads="1"/>
                    </pic:cNvPicPr>
                  </pic:nvPicPr>
                  <pic:blipFill>
                    <a:blip r:embed="rId14"/>
                    <a:srcRect/>
                    <a:stretch>
                      <a:fillRect/>
                    </a:stretch>
                  </pic:blipFill>
                  <pic:spPr>
                    <a:xfrm>
                      <a:off x="0" y="0"/>
                      <a:ext cx="3583940" cy="238696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ascii="宋体" w:hAnsi="宋体" w:eastAsia="宋体" w:cs="宋体"/>
          <w:i w:val="0"/>
          <w:caps w:val="0"/>
          <w:color w:val="000000"/>
          <w:spacing w:val="0"/>
          <w:sz w:val="21"/>
          <w:szCs w:val="21"/>
          <w:shd w:val="clear" w:fill="FFFFFF"/>
        </w:rPr>
        <w:t xml:space="preserve">    </w:t>
      </w:r>
      <w:r>
        <w:rPr>
          <w:rFonts w:hint="eastAsia" w:asciiTheme="minorEastAsia" w:hAnsiTheme="minorEastAsia" w:eastAsiaTheme="minorEastAsia" w:cstheme="minorBidi"/>
          <w:kern w:val="2"/>
          <w:sz w:val="32"/>
          <w:szCs w:val="32"/>
          <w:lang w:val="en-US" w:eastAsia="zh-CN" w:bidi="ar-SA"/>
        </w:rPr>
        <w:t>为帮助学生进一步了解电梯安全构造，普及电梯安全知识，9月25日，来自青岛市技师学院的近50名学生走进了拥有百年核心技术的跨国性公司——尼得科电梯（青岛）有限公司进行参观学习。从电梯生产的安全流程参观，到电梯构造部件讲解……尼得科公司工作人员认真细致地介绍着一部电梯在实际运行中的专业知识，让同学们大开眼界，获益匪浅。来自青岛市技师学院3D打印专业的学生周方源感叹道，“通过深入地走进电梯公司，更系统的了解了电梯安全知识，尤其是在保护人身安全措施方面，很多技术层面的设施细节给予了自己很大震撼。”而这也给他带来了一些创作的灵感和想象力，将积极参与动漫大赛活动，“我初步想设计一个卡通人物的创作思路，来生动地体现电梯安全的重要性，起到更好的普及和宣传效果。”</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rPr>
          <w:rFonts w:hint="eastAsia" w:asciiTheme="minorEastAsia" w:hAnsiTheme="minorEastAsia" w:eastAsiaTheme="minorEastAsia" w:cstheme="minorBidi"/>
          <w:kern w:val="2"/>
          <w:sz w:val="32"/>
          <w:szCs w:val="32"/>
          <w:lang w:val="en-US" w:eastAsia="zh-CN" w:bidi="ar-SA"/>
        </w:rPr>
      </w:pPr>
      <w:r>
        <w:rPr>
          <w:rFonts w:hint="eastAsia" w:asciiTheme="minorEastAsia" w:hAnsiTheme="minorEastAsia" w:eastAsiaTheme="minorEastAsia" w:cstheme="minorBidi"/>
          <w:kern w:val="2"/>
          <w:sz w:val="32"/>
          <w:szCs w:val="32"/>
          <w:lang w:val="en-US" w:eastAsia="zh-CN" w:bidi="ar-SA"/>
        </w:rPr>
        <w:t>   同样，来自该校16级的平面设计专业学生郑亚斐也深有感触，“通过本次参观，不仅提升了我对电梯安全知识的</w:t>
      </w:r>
      <w:r>
        <w:rPr>
          <w:rFonts w:asciiTheme="minorEastAsia" w:hAnsiTheme="minorEastAsia"/>
          <w:kern w:val="0"/>
          <w:sz w:val="28"/>
          <w:szCs w:val="28"/>
        </w:rPr>
        <w:drawing>
          <wp:anchor distT="0" distB="0" distL="114300" distR="114300" simplePos="0" relativeHeight="252247040" behindDoc="1" locked="0" layoutInCell="1" allowOverlap="1">
            <wp:simplePos x="0" y="0"/>
            <wp:positionH relativeFrom="column">
              <wp:posOffset>2206625</wp:posOffset>
            </wp:positionH>
            <wp:positionV relativeFrom="paragraph">
              <wp:posOffset>1822450</wp:posOffset>
            </wp:positionV>
            <wp:extent cx="3637280" cy="2190115"/>
            <wp:effectExtent l="128270" t="90170" r="330200" b="329565"/>
            <wp:wrapTight wrapText="bothSides">
              <wp:wrapPolygon>
                <wp:start x="483" y="-889"/>
                <wp:lineTo x="-83" y="-514"/>
                <wp:lineTo x="-762" y="1177"/>
                <wp:lineTo x="-762" y="20153"/>
                <wp:lineTo x="-535" y="23347"/>
                <wp:lineTo x="370" y="24287"/>
                <wp:lineTo x="483" y="24662"/>
                <wp:lineTo x="22203" y="24662"/>
                <wp:lineTo x="22316" y="24287"/>
                <wp:lineTo x="23222" y="23347"/>
                <wp:lineTo x="23448" y="20153"/>
                <wp:lineTo x="23448" y="1177"/>
                <wp:lineTo x="22882" y="-326"/>
                <wp:lineTo x="22203" y="-889"/>
                <wp:lineTo x="483" y="-889"/>
              </wp:wrapPolygon>
            </wp:wrapTight>
            <wp:docPr id="19" name="图片 19" descr="C:\Users\Administrator\Desktop\003.jp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003.jpg003"/>
                    <pic:cNvPicPr>
                      <a:picLocks noChangeAspect="1" noChangeArrowheads="1"/>
                    </pic:cNvPicPr>
                  </pic:nvPicPr>
                  <pic:blipFill>
                    <a:blip r:embed="rId15"/>
                    <a:srcRect/>
                    <a:stretch>
                      <a:fillRect/>
                    </a:stretch>
                  </pic:blipFill>
                  <pic:spPr>
                    <a:xfrm>
                      <a:off x="0" y="0"/>
                      <a:ext cx="3637280" cy="219011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asciiTheme="minorEastAsia" w:hAnsiTheme="minorEastAsia" w:eastAsiaTheme="minorEastAsia" w:cstheme="minorBidi"/>
          <w:kern w:val="2"/>
          <w:sz w:val="32"/>
          <w:szCs w:val="32"/>
          <w:lang w:val="en-US" w:eastAsia="zh-CN" w:bidi="ar-SA"/>
        </w:rPr>
        <w:t>日常应用，开阔了眼界，还将丰富的实践与课本知识相结合，这让我觉得从电梯安全的视角看，似乎可以将一些电梯元素设计的很时尚”，而3D打印专业的学生杨涵则对电梯在上升过程中可能出现的安全性等问题触发了更深入的思考，“比如基于安全性，我会考虑将部分特制零件，尝试着用3D打印制作出来后的效果。”</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rPr>
          <w:rFonts w:hint="eastAsia" w:ascii="宋体" w:hAnsi="宋体" w:eastAsia="宋体" w:cs="宋体"/>
          <w:b/>
          <w:i w:val="0"/>
          <w:caps w:val="0"/>
          <w:color w:val="000000"/>
          <w:spacing w:val="0"/>
          <w:sz w:val="32"/>
          <w:szCs w:val="32"/>
          <w:shd w:val="clear" w:fill="FFFFFF"/>
        </w:rPr>
      </w:pPr>
      <w:r>
        <w:rPr>
          <w:rFonts w:hint="eastAsia" w:ascii="宋体" w:hAnsi="宋体" w:eastAsia="宋体" w:cs="宋体"/>
          <w:b/>
          <w:i w:val="0"/>
          <w:caps w:val="0"/>
          <w:color w:val="000000"/>
          <w:spacing w:val="0"/>
          <w:sz w:val="32"/>
          <w:szCs w:val="32"/>
          <w:shd w:val="clear" w:fill="FFFFFF"/>
        </w:rPr>
        <w:t>校企携手培育“电梯人才”新沃土</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640" w:firstLineChars="200"/>
        <w:rPr>
          <w:rFonts w:hint="eastAsia" w:asciiTheme="minorEastAsia" w:hAnsiTheme="minorEastAsia" w:eastAsiaTheme="minorEastAsia" w:cstheme="minorBidi"/>
          <w:kern w:val="2"/>
          <w:sz w:val="32"/>
          <w:szCs w:val="32"/>
          <w:lang w:val="en-US" w:eastAsia="zh-CN" w:bidi="ar-SA"/>
        </w:rPr>
      </w:pPr>
      <w:r>
        <w:rPr>
          <w:rFonts w:hint="eastAsia" w:asciiTheme="minorEastAsia" w:hAnsiTheme="minorEastAsia" w:eastAsiaTheme="minorEastAsia" w:cstheme="minorBidi"/>
          <w:kern w:val="2"/>
          <w:sz w:val="32"/>
          <w:szCs w:val="32"/>
          <w:lang w:val="en-US" w:eastAsia="zh-CN" w:bidi="ar-SA"/>
        </w:rPr>
        <w:t>面对同学们的积极响应，青岛市技师学院相关负责人告诉记者，该校电梯工程技术专业的学生往往还未毕业，就被各家企业“一抢而空”，非常火爆。作为青岛较早开设电梯工程技术专业的学校，学校实训设备先进，学生综合技能水平高，也经常搭建校企合作交流的平台，“本次能够深入企业参观交流，是难得的学习和实践机会，我们将学以致用，为助力电</w:t>
      </w:r>
      <w:r>
        <w:rPr>
          <w:rFonts w:hint="eastAsia" w:asciiTheme="minorEastAsia" w:hAnsiTheme="minorEastAsia" w:cstheme="minorBidi"/>
          <w:kern w:val="2"/>
          <w:sz w:val="32"/>
          <w:szCs w:val="32"/>
          <w:lang w:val="en-US" w:eastAsia="zh-CN" w:bidi="ar-SA"/>
        </w:rPr>
        <w:t>提</w:t>
      </w:r>
      <w:r>
        <w:rPr>
          <w:rFonts w:hint="eastAsia" w:asciiTheme="minorEastAsia" w:hAnsiTheme="minorEastAsia" w:eastAsiaTheme="minorEastAsia" w:cstheme="minorBidi"/>
          <w:kern w:val="2"/>
          <w:sz w:val="32"/>
          <w:szCs w:val="32"/>
          <w:lang w:val="en-US" w:eastAsia="zh-CN" w:bidi="ar-SA"/>
        </w:rPr>
        <w:t>梯安全的宣传推广，做更多的实践与努力。”该校电梯工程技术专业的同学们纷纷表示。</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rPr>
          <w:rFonts w:hint="eastAsia" w:ascii="宋体" w:hAnsi="宋体" w:eastAsia="宋体" w:cs="宋体"/>
          <w:b/>
          <w:i w:val="0"/>
          <w:caps w:val="0"/>
          <w:color w:val="000000"/>
          <w:spacing w:val="0"/>
          <w:sz w:val="32"/>
          <w:szCs w:val="32"/>
          <w:shd w:val="clear" w:fill="FFFFFF"/>
        </w:rPr>
      </w:pPr>
      <w:r>
        <w:rPr>
          <w:rFonts w:hint="eastAsia" w:ascii="宋体" w:hAnsi="宋体" w:eastAsia="宋体" w:cs="宋体"/>
          <w:b/>
          <w:i w:val="0"/>
          <w:caps w:val="0"/>
          <w:color w:val="000000"/>
          <w:spacing w:val="0"/>
          <w:sz w:val="32"/>
          <w:szCs w:val="32"/>
          <w:shd w:val="clear" w:fill="FFFFFF"/>
        </w:rPr>
        <w:t>打造电梯安全品牌建设风尚标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rPr>
          <w:rFonts w:hint="eastAsia" w:asciiTheme="minorEastAsia" w:hAnsiTheme="minorEastAsia" w:eastAsiaTheme="minorEastAsia" w:cstheme="minorBidi"/>
          <w:kern w:val="2"/>
          <w:sz w:val="32"/>
          <w:szCs w:val="32"/>
          <w:lang w:val="en-US" w:eastAsia="zh-CN" w:bidi="ar-SA"/>
        </w:rPr>
      </w:pPr>
      <w:r>
        <w:rPr>
          <w:rFonts w:asciiTheme="minorEastAsia" w:hAnsiTheme="minorEastAsia"/>
          <w:kern w:val="0"/>
          <w:sz w:val="28"/>
          <w:szCs w:val="28"/>
        </w:rPr>
        <w:drawing>
          <wp:anchor distT="0" distB="0" distL="114300" distR="114300" simplePos="0" relativeHeight="254901248" behindDoc="1" locked="0" layoutInCell="1" allowOverlap="1">
            <wp:simplePos x="0" y="0"/>
            <wp:positionH relativeFrom="column">
              <wp:posOffset>2745740</wp:posOffset>
            </wp:positionH>
            <wp:positionV relativeFrom="paragraph">
              <wp:posOffset>1288415</wp:posOffset>
            </wp:positionV>
            <wp:extent cx="3437255" cy="2423160"/>
            <wp:effectExtent l="128270" t="90170" r="320675" b="344170"/>
            <wp:wrapTight wrapText="bothSides">
              <wp:wrapPolygon>
                <wp:start x="511" y="-804"/>
                <wp:lineTo x="-88" y="-464"/>
                <wp:lineTo x="-806" y="1064"/>
                <wp:lineTo x="-806" y="21611"/>
                <wp:lineTo x="-208" y="23649"/>
                <wp:lineTo x="511" y="24328"/>
                <wp:lineTo x="22179" y="24328"/>
                <wp:lineTo x="23017" y="23649"/>
                <wp:lineTo x="23495" y="21611"/>
                <wp:lineTo x="23495" y="1064"/>
                <wp:lineTo x="22897" y="-294"/>
                <wp:lineTo x="22179" y="-804"/>
                <wp:lineTo x="511" y="-804"/>
              </wp:wrapPolygon>
            </wp:wrapTight>
            <wp:docPr id="23" name="图片 23" descr="C:\Users\Administrator\Desktop\004.jp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004.jpg004"/>
                    <pic:cNvPicPr>
                      <a:picLocks noChangeAspect="1" noChangeArrowheads="1"/>
                    </pic:cNvPicPr>
                  </pic:nvPicPr>
                  <pic:blipFill>
                    <a:blip r:embed="rId16"/>
                    <a:srcRect/>
                    <a:stretch>
                      <a:fillRect/>
                    </a:stretch>
                  </pic:blipFill>
                  <pic:spPr>
                    <a:xfrm>
                      <a:off x="0" y="0"/>
                      <a:ext cx="3437255" cy="242316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ascii="宋体" w:hAnsi="宋体" w:eastAsia="宋体" w:cs="宋体"/>
          <w:i w:val="0"/>
          <w:caps w:val="0"/>
          <w:color w:val="000000"/>
          <w:spacing w:val="0"/>
          <w:sz w:val="21"/>
          <w:szCs w:val="21"/>
          <w:shd w:val="clear" w:fill="FFFFFF"/>
        </w:rPr>
        <w:t>   </w:t>
      </w:r>
      <w:r>
        <w:rPr>
          <w:rFonts w:hint="eastAsia" w:asciiTheme="minorEastAsia" w:hAnsiTheme="minorEastAsia" w:eastAsiaTheme="minorEastAsia" w:cstheme="minorBidi"/>
          <w:kern w:val="2"/>
          <w:sz w:val="32"/>
          <w:szCs w:val="32"/>
          <w:lang w:val="en-US" w:eastAsia="zh-CN" w:bidi="ar-SA"/>
        </w:rPr>
        <w:t xml:space="preserve"> 对此，青岛市特种设备协会轮值会长、青岛西奥电梯工程有限公司董事长何圣忠表示，协会将加强行业自律，从电梯设计、制造、安装、维保等源头上做好安全工作，同时，鼓励协会的电梯会员企业更多的走进校区、园区、社区，普及电梯安全知识。而从促进电梯高技能人才的培养角度来看，2018年青岛市中小学生“生命至上、安全乘梯”动漫作品大赛活动举办的很有意义，“既可以通过大赛，不断促进校企融合，挖掘、培养电梯行业的专业技术技能人才，也能以创作出更多的动漫等优秀文创作品，满足人民日益增长的美好生活需要。”</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rPr>
          <w:rFonts w:hint="eastAsia" w:asciiTheme="minorEastAsia" w:hAnsiTheme="minorEastAsia" w:eastAsiaTheme="minorEastAsia" w:cstheme="minorBidi"/>
          <w:kern w:val="2"/>
          <w:sz w:val="32"/>
          <w:szCs w:val="32"/>
          <w:lang w:val="en-US" w:eastAsia="zh-CN" w:bidi="ar-SA"/>
        </w:rPr>
      </w:pPr>
      <w:r>
        <w:rPr>
          <w:rFonts w:hint="eastAsia" w:asciiTheme="minorEastAsia" w:hAnsiTheme="minorEastAsia" w:eastAsiaTheme="minorEastAsia" w:cstheme="minorBidi"/>
          <w:kern w:val="2"/>
          <w:sz w:val="32"/>
          <w:szCs w:val="32"/>
          <w:lang w:val="en-US" w:eastAsia="zh-CN" w:bidi="ar-SA"/>
        </w:rPr>
        <w:t>  “随着电梯保有量的增加，将逐渐过渡到制造业与服务业并重，最终实现以服务业为主、制造业为辅的理想状态，与此同时，社会各界对电梯行业认知的安全意识也刻不容缓，”尼得科电梯（青岛）有限公司相关负责人表示，“目前，我国电梯行业正处在产业结构转型的过程中，未来将迎来非常巨大的服务市场，也希望通过本次动漫大赛，营造出重视电梯行业技能人才、宣传普及电梯安全的社会良好氛围。”</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rPr>
          <w:rFonts w:hint="eastAsia" w:asciiTheme="minorEastAsia" w:hAnsiTheme="minorEastAsia" w:eastAsiaTheme="minorEastAsia" w:cstheme="minorBidi"/>
          <w:kern w:val="2"/>
          <w:sz w:val="32"/>
          <w:szCs w:val="32"/>
          <w:lang w:val="en-US" w:eastAsia="zh-CN" w:bidi="ar-SA"/>
        </w:rPr>
      </w:pPr>
      <w:r>
        <w:rPr>
          <w:rFonts w:hint="eastAsia" w:asciiTheme="minorEastAsia" w:hAnsiTheme="minorEastAsia" w:eastAsiaTheme="minorEastAsia" w:cstheme="minorBidi"/>
          <w:kern w:val="2"/>
          <w:sz w:val="32"/>
          <w:szCs w:val="32"/>
          <w:lang w:val="en-US" w:eastAsia="zh-CN" w:bidi="ar-SA"/>
        </w:rPr>
        <w:t xml:space="preserve">  </w:t>
      </w:r>
      <w:r>
        <w:rPr>
          <w:rFonts w:hint="eastAsia" w:asciiTheme="minorEastAsia" w:hAnsiTheme="minorEastAsia" w:cstheme="minorBidi"/>
          <w:kern w:val="2"/>
          <w:sz w:val="32"/>
          <w:szCs w:val="32"/>
          <w:lang w:val="en-US" w:eastAsia="zh-CN" w:bidi="ar-SA"/>
        </w:rPr>
        <w:t xml:space="preserve"> </w:t>
      </w:r>
      <w:r>
        <w:rPr>
          <w:rFonts w:hint="eastAsia" w:asciiTheme="minorEastAsia" w:hAnsiTheme="minorEastAsia" w:eastAsiaTheme="minorEastAsia" w:cstheme="minorBidi"/>
          <w:kern w:val="2"/>
          <w:sz w:val="32"/>
          <w:szCs w:val="32"/>
          <w:lang w:val="en-US" w:eastAsia="zh-CN" w:bidi="ar-SA"/>
        </w:rPr>
        <w:t>据了解，今年大赛期间将举办一系列丰富的电梯安全知识宣传活动。大赛由青岛市特种设备检验检测研究院和青岛市电梯安全应急和监控中心协办、青岛市特种设备协会和青岛市动漫创意产业协会具体承办，通过多方联动，致力于推进全市学校安全教育和安全文化建设，挖掘、打造电梯行业领域有影响力的品牌建设风尚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rPr>
          <w:rFonts w:hint="eastAsia" w:asciiTheme="minorEastAsia" w:hAnsiTheme="minorEastAsia" w:eastAsiaTheme="minorEastAsia" w:cstheme="minorBidi"/>
          <w:kern w:val="2"/>
          <w:sz w:val="32"/>
          <w:szCs w:val="32"/>
          <w:lang w:val="en-US" w:eastAsia="zh-CN" w:bidi="ar-SA"/>
        </w:rPr>
      </w:pPr>
    </w:p>
    <w:p>
      <w:pPr>
        <w:jc w:val="center"/>
        <w:rPr>
          <w:rFonts w:hint="eastAsia" w:asciiTheme="minorEastAsia" w:hAnsiTheme="minorEastAsia" w:eastAsiaTheme="minorEastAsia" w:cstheme="minorBidi"/>
          <w:b/>
          <w:kern w:val="2"/>
          <w:sz w:val="36"/>
          <w:szCs w:val="36"/>
          <w:lang w:val="en-US" w:eastAsia="zh-CN" w:bidi="ar-SA"/>
        </w:rPr>
      </w:pPr>
      <w:r>
        <w:rPr>
          <w:rFonts w:hint="eastAsia" w:asciiTheme="minorEastAsia" w:hAnsiTheme="minorEastAsia" w:cstheme="minorBidi"/>
          <w:b/>
          <w:kern w:val="2"/>
          <w:sz w:val="36"/>
          <w:szCs w:val="36"/>
          <w:lang w:val="en-US" w:eastAsia="zh-CN" w:bidi="ar-SA"/>
        </w:rPr>
        <w:t xml:space="preserve"> </w:t>
      </w:r>
      <w:r>
        <w:rPr>
          <w:rFonts w:hint="eastAsia" w:asciiTheme="minorEastAsia" w:hAnsiTheme="minorEastAsia" w:eastAsiaTheme="minorEastAsia" w:cstheme="minorBidi"/>
          <w:b/>
          <w:kern w:val="2"/>
          <w:sz w:val="36"/>
          <w:szCs w:val="36"/>
          <w:lang w:val="en-US" w:eastAsia="zh-CN" w:bidi="ar-SA"/>
        </w:rPr>
        <w:t>青岛市特种设备协会气瓶专委会成立大会顺利举行</w:t>
      </w:r>
    </w:p>
    <w:p>
      <w:pPr>
        <w:ind w:firstLine="640" w:firstLineChars="200"/>
        <w:rPr>
          <w:rFonts w:hint="eastAsia" w:asciiTheme="minorEastAsia" w:hAnsiTheme="minorEastAsia" w:eastAsiaTheme="minorEastAsia" w:cstheme="minorBidi"/>
          <w:kern w:val="2"/>
          <w:sz w:val="32"/>
          <w:szCs w:val="32"/>
          <w:lang w:val="en-US" w:eastAsia="zh-CN" w:bidi="ar-SA"/>
        </w:rPr>
      </w:pPr>
      <w:r>
        <w:rPr>
          <w:rFonts w:hint="eastAsia" w:asciiTheme="minorEastAsia" w:hAnsiTheme="minorEastAsia" w:eastAsiaTheme="minorEastAsia" w:cstheme="minorBidi"/>
          <w:kern w:val="2"/>
          <w:sz w:val="32"/>
          <w:szCs w:val="32"/>
          <w:lang w:val="en-US" w:eastAsia="zh-CN" w:bidi="ar-SA"/>
        </w:rPr>
        <w:t>2018年10月20日上午，青岛市特种设备协会气瓶专业委员会成立大会顺利召开。由青岛市特种设备协会秘书长解赞华主持。</w:t>
      </w:r>
    </w:p>
    <w:p>
      <w:pPr>
        <w:ind w:firstLine="560" w:firstLineChars="200"/>
        <w:rPr>
          <w:rFonts w:hint="eastAsia" w:asciiTheme="minorEastAsia" w:hAnsiTheme="minorEastAsia" w:eastAsiaTheme="minorEastAsia" w:cstheme="minorBidi"/>
          <w:kern w:val="2"/>
          <w:sz w:val="32"/>
          <w:szCs w:val="32"/>
          <w:lang w:val="en-US" w:eastAsia="zh-CN" w:bidi="ar-SA"/>
        </w:rPr>
      </w:pPr>
      <w:r>
        <w:rPr>
          <w:rFonts w:asciiTheme="minorEastAsia" w:hAnsiTheme="minorEastAsia"/>
          <w:kern w:val="0"/>
          <w:sz w:val="28"/>
          <w:szCs w:val="28"/>
        </w:rPr>
        <w:drawing>
          <wp:anchor distT="0" distB="0" distL="114300" distR="114300" simplePos="0" relativeHeight="277609472" behindDoc="1" locked="0" layoutInCell="1" allowOverlap="1">
            <wp:simplePos x="0" y="0"/>
            <wp:positionH relativeFrom="column">
              <wp:posOffset>2261870</wp:posOffset>
            </wp:positionH>
            <wp:positionV relativeFrom="paragraph">
              <wp:posOffset>1374140</wp:posOffset>
            </wp:positionV>
            <wp:extent cx="3511550" cy="2484120"/>
            <wp:effectExtent l="128270" t="90170" r="284480" b="340360"/>
            <wp:wrapTight wrapText="bothSides">
              <wp:wrapPolygon>
                <wp:start x="500" y="-784"/>
                <wp:lineTo x="-86" y="-453"/>
                <wp:lineTo x="-789" y="1038"/>
                <wp:lineTo x="-789" y="20418"/>
                <wp:lineTo x="-555" y="23069"/>
                <wp:lineTo x="383" y="23897"/>
                <wp:lineTo x="500" y="24228"/>
                <wp:lineTo x="22178" y="24228"/>
                <wp:lineTo x="22295" y="23897"/>
                <wp:lineTo x="23233" y="23069"/>
                <wp:lineTo x="23467" y="20418"/>
                <wp:lineTo x="23467" y="1038"/>
                <wp:lineTo x="22881" y="-287"/>
                <wp:lineTo x="22178" y="-784"/>
                <wp:lineTo x="500" y="-784"/>
              </wp:wrapPolygon>
            </wp:wrapTight>
            <wp:docPr id="27" name="图片 27"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图片1.png图片1"/>
                    <pic:cNvPicPr>
                      <a:picLocks noChangeAspect="1" noChangeArrowheads="1"/>
                    </pic:cNvPicPr>
                  </pic:nvPicPr>
                  <pic:blipFill>
                    <a:blip r:embed="rId17"/>
                    <a:srcRect/>
                    <a:stretch>
                      <a:fillRect/>
                    </a:stretch>
                  </pic:blipFill>
                  <pic:spPr>
                    <a:xfrm>
                      <a:off x="0" y="0"/>
                      <a:ext cx="3511550" cy="248412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asciiTheme="minorEastAsia" w:hAnsiTheme="minorEastAsia" w:eastAsiaTheme="minorEastAsia" w:cstheme="minorBidi"/>
          <w:kern w:val="2"/>
          <w:sz w:val="32"/>
          <w:szCs w:val="32"/>
          <w:lang w:val="en-US" w:eastAsia="zh-CN" w:bidi="ar-SA"/>
        </w:rPr>
        <w:t>会上会议由六项议题：一是由青岛市特种设备协会孙贞安秘书长介绍新的一届气瓶专业委员会筹备情况做出说明；二是由李明海主任介绍新一届气瓶专业委员会人员名单；三是由青岛市特种协会解赞华秘书长宣读对新一届气瓶专业委员会顾问、主任、副主任及委员名单并进行表决；四是由李明海主任分别对新的第一届气瓶专业委员会工作任务及目标安排进行汇报；五是由青岛市特检院吕良广领导讲话；六是青岛市质监局特监处周厚明领导讲话。</w:t>
      </w:r>
    </w:p>
    <w:p>
      <w:pPr>
        <w:ind w:firstLine="560" w:firstLineChars="200"/>
        <w:rPr>
          <w:rFonts w:asciiTheme="minorEastAsia" w:hAnsiTheme="minorEastAsia"/>
          <w:sz w:val="32"/>
          <w:szCs w:val="32"/>
        </w:rPr>
      </w:pPr>
      <w:r>
        <w:rPr>
          <w:rFonts w:asciiTheme="minorEastAsia" w:hAnsiTheme="minorEastAsia"/>
          <w:kern w:val="0"/>
          <w:sz w:val="28"/>
          <w:szCs w:val="28"/>
        </w:rPr>
        <w:drawing>
          <wp:anchor distT="0" distB="0" distL="114300" distR="114300" simplePos="0" relativeHeight="537132032" behindDoc="1" locked="0" layoutInCell="1" allowOverlap="1">
            <wp:simplePos x="0" y="0"/>
            <wp:positionH relativeFrom="column">
              <wp:posOffset>2564130</wp:posOffset>
            </wp:positionH>
            <wp:positionV relativeFrom="paragraph">
              <wp:posOffset>1067435</wp:posOffset>
            </wp:positionV>
            <wp:extent cx="3511550" cy="2343150"/>
            <wp:effectExtent l="128270" t="90170" r="341630" b="328930"/>
            <wp:wrapTight wrapText="bothSides">
              <wp:wrapPolygon>
                <wp:start x="500" y="-831"/>
                <wp:lineTo x="-86" y="-480"/>
                <wp:lineTo x="-789" y="1100"/>
                <wp:lineTo x="-789" y="22349"/>
                <wp:lineTo x="148" y="24105"/>
                <wp:lineTo x="500" y="24457"/>
                <wp:lineTo x="22178" y="24457"/>
                <wp:lineTo x="22530" y="24105"/>
                <wp:lineTo x="23467" y="22349"/>
                <wp:lineTo x="23467" y="1100"/>
                <wp:lineTo x="22881" y="-304"/>
                <wp:lineTo x="22178" y="-831"/>
                <wp:lineTo x="500" y="-831"/>
              </wp:wrapPolygon>
            </wp:wrapTight>
            <wp:docPr id="33" name="图片 33" descr="C:\Users\Administrator\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图片3.png图片3"/>
                    <pic:cNvPicPr>
                      <a:picLocks noChangeAspect="1" noChangeArrowheads="1"/>
                    </pic:cNvPicPr>
                  </pic:nvPicPr>
                  <pic:blipFill>
                    <a:blip r:embed="rId18"/>
                    <a:srcRect/>
                    <a:stretch>
                      <a:fillRect/>
                    </a:stretch>
                  </pic:blipFill>
                  <pic:spPr>
                    <a:xfrm>
                      <a:off x="0" y="0"/>
                      <a:ext cx="3511550" cy="23431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asciiTheme="minorEastAsia" w:hAnsiTheme="minorEastAsia"/>
          <w:sz w:val="32"/>
          <w:szCs w:val="32"/>
        </w:rPr>
        <w:t>会议结束后，</w:t>
      </w:r>
      <w:r>
        <w:rPr>
          <w:rFonts w:hint="eastAsia" w:asciiTheme="minorEastAsia" w:hAnsiTheme="minorEastAsia"/>
          <w:sz w:val="32"/>
          <w:szCs w:val="32"/>
          <w:lang w:eastAsia="zh-CN"/>
        </w:rPr>
        <w:t>下午气瓶</w:t>
      </w:r>
      <w:r>
        <w:rPr>
          <w:rFonts w:hint="eastAsia" w:asciiTheme="minorEastAsia" w:hAnsiTheme="minorEastAsia"/>
          <w:sz w:val="32"/>
          <w:szCs w:val="32"/>
        </w:rPr>
        <w:t>专业委员</w:t>
      </w:r>
      <w:r>
        <w:rPr>
          <w:rFonts w:hint="eastAsia" w:asciiTheme="minorEastAsia" w:hAnsiTheme="minorEastAsia"/>
          <w:sz w:val="32"/>
          <w:szCs w:val="32"/>
          <w:lang w:eastAsia="zh-CN"/>
        </w:rPr>
        <w:t>会</w:t>
      </w:r>
      <w:r>
        <w:rPr>
          <w:rFonts w:hint="eastAsia" w:asciiTheme="minorEastAsia" w:hAnsiTheme="minorEastAsia"/>
          <w:sz w:val="32"/>
          <w:szCs w:val="32"/>
        </w:rPr>
        <w:t>在</w:t>
      </w:r>
      <w:r>
        <w:rPr>
          <w:rFonts w:hint="eastAsia" w:asciiTheme="minorEastAsia" w:hAnsiTheme="minorEastAsia"/>
          <w:sz w:val="32"/>
          <w:szCs w:val="32"/>
          <w:lang w:eastAsia="zh-CN"/>
        </w:rPr>
        <w:t>协会三楼会议室进行气瓶专业</w:t>
      </w:r>
      <w:r>
        <w:rPr>
          <w:rFonts w:hint="eastAsia" w:asciiTheme="minorEastAsia" w:hAnsiTheme="minorEastAsia"/>
          <w:sz w:val="32"/>
          <w:szCs w:val="32"/>
        </w:rPr>
        <w:t>委员会议议题讨论会，</w:t>
      </w:r>
      <w:r>
        <w:rPr>
          <w:rFonts w:hint="eastAsia" w:asciiTheme="minorEastAsia" w:hAnsiTheme="minorEastAsia"/>
          <w:sz w:val="32"/>
          <w:szCs w:val="32"/>
          <w:lang w:eastAsia="zh-CN"/>
        </w:rPr>
        <w:t>李明海</w:t>
      </w:r>
      <w:r>
        <w:rPr>
          <w:rFonts w:hint="eastAsia" w:asciiTheme="minorEastAsia" w:hAnsiTheme="minorEastAsia"/>
          <w:sz w:val="32"/>
          <w:szCs w:val="32"/>
        </w:rPr>
        <w:t>主任与各专业委员们对</w:t>
      </w:r>
      <w:r>
        <w:rPr>
          <w:rFonts w:hint="eastAsia" w:asciiTheme="minorEastAsia" w:hAnsiTheme="minorEastAsia"/>
          <w:sz w:val="32"/>
          <w:szCs w:val="32"/>
          <w:lang w:eastAsia="zh-CN"/>
        </w:rPr>
        <w:t>气瓶</w:t>
      </w:r>
      <w:r>
        <w:rPr>
          <w:rFonts w:hint="eastAsia" w:asciiTheme="minorEastAsia" w:hAnsiTheme="minorEastAsia"/>
          <w:sz w:val="32"/>
          <w:szCs w:val="32"/>
        </w:rPr>
        <w:t>在应用时出现难点、疑点进行讨论解决。</w:t>
      </w:r>
    </w:p>
    <w:p>
      <w:pPr>
        <w:ind w:firstLine="640" w:firstLineChars="200"/>
        <w:rPr>
          <w:rFonts w:hint="eastAsia" w:asciiTheme="minorEastAsia" w:hAnsiTheme="minorEastAsia" w:eastAsiaTheme="minorEastAsia" w:cstheme="minorBidi"/>
          <w:kern w:val="2"/>
          <w:sz w:val="32"/>
          <w:szCs w:val="32"/>
          <w:lang w:val="en-US" w:eastAsia="zh-CN" w:bidi="ar-SA"/>
        </w:rPr>
      </w:pPr>
      <w:r>
        <w:rPr>
          <w:rFonts w:hint="eastAsia" w:asciiTheme="minorEastAsia" w:hAnsiTheme="minorEastAsia"/>
          <w:sz w:val="32"/>
          <w:szCs w:val="32"/>
        </w:rPr>
        <w:t>青岛市</w:t>
      </w:r>
      <w:r>
        <w:rPr>
          <w:rFonts w:hint="eastAsia" w:asciiTheme="minorEastAsia" w:hAnsiTheme="minorEastAsia"/>
          <w:sz w:val="32"/>
          <w:szCs w:val="32"/>
          <w:lang w:eastAsia="zh-CN"/>
        </w:rPr>
        <w:t>特种设备协会气瓶</w:t>
      </w:r>
      <w:r>
        <w:rPr>
          <w:rFonts w:hint="eastAsia" w:asciiTheme="minorEastAsia" w:hAnsiTheme="minorEastAsia"/>
          <w:sz w:val="32"/>
          <w:szCs w:val="32"/>
        </w:rPr>
        <w:t>专业委员会成立是为进一步提高青岛市特种设备行业</w:t>
      </w:r>
      <w:r>
        <w:rPr>
          <w:rFonts w:hint="eastAsia" w:asciiTheme="minorEastAsia" w:hAnsiTheme="minorEastAsia"/>
          <w:sz w:val="32"/>
          <w:szCs w:val="32"/>
          <w:lang w:eastAsia="zh-CN"/>
        </w:rPr>
        <w:t>气瓶专业</w:t>
      </w:r>
      <w:r>
        <w:rPr>
          <w:rFonts w:hint="eastAsia" w:asciiTheme="minorEastAsia" w:hAnsiTheme="minorEastAsia"/>
          <w:sz w:val="32"/>
          <w:szCs w:val="32"/>
        </w:rPr>
        <w:t>技术水平，促进特种设备生产的</w:t>
      </w:r>
      <w:r>
        <w:rPr>
          <w:rFonts w:hint="eastAsia" w:asciiTheme="minorEastAsia" w:hAnsiTheme="minorEastAsia"/>
          <w:sz w:val="32"/>
          <w:szCs w:val="32"/>
          <w:lang w:eastAsia="zh-CN"/>
        </w:rPr>
        <w:t>气瓶</w:t>
      </w:r>
      <w:r>
        <w:rPr>
          <w:rFonts w:hint="eastAsia" w:asciiTheme="minorEastAsia" w:hAnsiTheme="minorEastAsia"/>
          <w:sz w:val="32"/>
          <w:szCs w:val="32"/>
        </w:rPr>
        <w:t>及检验检测环节质量管理能力的提升，保证特种设备的本质安全，拓宽技术交流和沟通渠道。今后协会会充分发挥沟通协调的作用，成为青岛市特种</w:t>
      </w:r>
      <w:r>
        <w:rPr>
          <w:rFonts w:hint="eastAsia" w:asciiTheme="minorEastAsia" w:hAnsiTheme="minorEastAsia"/>
          <w:sz w:val="32"/>
          <w:szCs w:val="32"/>
          <w:lang w:eastAsia="zh-CN"/>
        </w:rPr>
        <w:t>设备协会气瓶</w:t>
      </w:r>
      <w:r>
        <w:rPr>
          <w:rFonts w:hint="eastAsia" w:asciiTheme="minorEastAsia" w:hAnsiTheme="minorEastAsia"/>
          <w:sz w:val="32"/>
          <w:szCs w:val="32"/>
        </w:rPr>
        <w:t>专业发展的桥梁纽带。</w:t>
      </w:r>
    </w:p>
    <w:p>
      <w:pPr>
        <w:autoSpaceDE w:val="0"/>
        <w:autoSpaceDN w:val="0"/>
        <w:adjustRightInd w:val="0"/>
        <w:spacing w:line="600" w:lineRule="exact"/>
        <w:jc w:val="left"/>
        <w:outlineLvl w:val="0"/>
        <w:rPr>
          <w:rFonts w:hint="eastAsia" w:ascii="黑体" w:hAnsi="黑体" w:eastAsia="黑体"/>
          <w:kern w:val="0"/>
          <w:sz w:val="28"/>
          <w:szCs w:val="28"/>
          <w:shd w:val="pct10" w:color="auto" w:fill="FFFFFF"/>
          <w:lang w:eastAsia="zh-CN"/>
        </w:rPr>
      </w:pPr>
      <w:r>
        <w:rPr>
          <w:rFonts w:hint="eastAsia" w:ascii="黑体" w:hAnsi="黑体" w:eastAsia="黑体"/>
          <w:kern w:val="0"/>
          <w:sz w:val="28"/>
          <w:szCs w:val="28"/>
          <w:shd w:val="pct10" w:color="auto" w:fill="FFFFFF"/>
          <w:lang w:eastAsia="zh-CN"/>
        </w:rPr>
        <w:t>会员动态</w:t>
      </w:r>
    </w:p>
    <w:p>
      <w:pPr>
        <w:ind w:firstLine="540" w:firstLineChars="200"/>
        <w:rPr>
          <w:rFonts w:hint="eastAsia" w:asciiTheme="minorEastAsia" w:hAnsiTheme="minorEastAsia"/>
          <w:sz w:val="32"/>
          <w:szCs w:val="32"/>
        </w:rPr>
      </w:pPr>
      <w:r>
        <w:rPr>
          <w:rFonts w:ascii="楷体" w:hAnsi="楷体" w:eastAsia="楷体" w:cs="楷体"/>
          <w:i w:val="0"/>
          <w:caps w:val="0"/>
          <w:color w:val="000000"/>
          <w:spacing w:val="0"/>
          <w:kern w:val="0"/>
          <w:sz w:val="27"/>
          <w:szCs w:val="27"/>
          <w:shd w:val="clear" w:fill="FFFFFF"/>
          <w:lang w:val="en-US" w:eastAsia="zh-CN" w:bidi="ar"/>
        </w:rPr>
        <w:t xml:space="preserve">  </w:t>
      </w:r>
      <w:r>
        <w:rPr>
          <w:rFonts w:hint="eastAsia" w:asciiTheme="minorEastAsia" w:hAnsiTheme="minorEastAsia"/>
          <w:sz w:val="32"/>
          <w:szCs w:val="32"/>
          <w:lang w:val="en-US" w:eastAsia="zh-CN"/>
        </w:rPr>
        <w:t>2018年9月27日下午，在青岛市德固特节能装备有限公司承办青岛市特种设备协会2018年第一次会长办公会议。在青岛市德固特节能装备有限公司三楼会议室成功召开。各副会长以上负责人共15人参加会议。协会负责人解赞华同志主持会长办公会议。</w:t>
      </w:r>
      <w:r>
        <w:rPr>
          <w:rFonts w:asciiTheme="minorEastAsia" w:hAnsiTheme="minorEastAsia"/>
          <w:kern w:val="0"/>
          <w:sz w:val="28"/>
          <w:szCs w:val="28"/>
        </w:rPr>
        <w:drawing>
          <wp:anchor distT="0" distB="0" distL="114300" distR="114300" simplePos="0" relativeHeight="355466240" behindDoc="1" locked="0" layoutInCell="1" allowOverlap="1">
            <wp:simplePos x="0" y="0"/>
            <wp:positionH relativeFrom="column">
              <wp:posOffset>2608580</wp:posOffset>
            </wp:positionH>
            <wp:positionV relativeFrom="paragraph">
              <wp:posOffset>2990850</wp:posOffset>
            </wp:positionV>
            <wp:extent cx="3437255" cy="2291080"/>
            <wp:effectExtent l="128270" t="90170" r="339725" b="342900"/>
            <wp:wrapTight wrapText="bothSides">
              <wp:wrapPolygon>
                <wp:start x="511" y="-850"/>
                <wp:lineTo x="-88" y="-491"/>
                <wp:lineTo x="-806" y="1125"/>
                <wp:lineTo x="-806" y="22498"/>
                <wp:lineTo x="511" y="24474"/>
                <wp:lineTo x="22179" y="24474"/>
                <wp:lineTo x="23495" y="22498"/>
                <wp:lineTo x="23495" y="1125"/>
                <wp:lineTo x="22897" y="-311"/>
                <wp:lineTo x="22179" y="-850"/>
                <wp:lineTo x="511" y="-850"/>
              </wp:wrapPolygon>
            </wp:wrapTight>
            <wp:docPr id="29" name="图片 29" descr="C:\Users\Administrator\Desktop\01.pn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01.png01"/>
                    <pic:cNvPicPr>
                      <a:picLocks noChangeAspect="1" noChangeArrowheads="1"/>
                    </pic:cNvPicPr>
                  </pic:nvPicPr>
                  <pic:blipFill>
                    <a:blip r:embed="rId19"/>
                    <a:srcRect/>
                    <a:stretch>
                      <a:fillRect/>
                    </a:stretch>
                  </pic:blipFill>
                  <pic:spPr>
                    <a:xfrm>
                      <a:off x="0" y="0"/>
                      <a:ext cx="3437255" cy="2291080"/>
                    </a:xfrm>
                    <a:prstGeom prst="rect">
                      <a:avLst/>
                    </a:prstGeom>
                    <a:ln>
                      <a:noFill/>
                    </a:ln>
                    <a:effectLst>
                      <a:outerShdw blurRad="292100" dist="139700" dir="2700000" algn="tl" rotWithShape="0">
                        <a:srgbClr val="333333">
                          <a:alpha val="65000"/>
                        </a:srgbClr>
                      </a:outerShdw>
                    </a:effectLst>
                  </pic:spPr>
                </pic:pic>
              </a:graphicData>
            </a:graphic>
          </wp:anchor>
        </w:drawing>
      </w:r>
    </w:p>
    <w:p>
      <w:pPr>
        <w:ind w:firstLine="640" w:firstLineChars="200"/>
        <w:rPr>
          <w:rFonts w:hint="eastAsia" w:asciiTheme="minorEastAsia" w:hAnsiTheme="minorEastAsia"/>
          <w:sz w:val="32"/>
          <w:szCs w:val="32"/>
        </w:rPr>
      </w:pPr>
      <w:r>
        <w:rPr>
          <w:rFonts w:hint="eastAsia" w:asciiTheme="minorEastAsia" w:hAnsiTheme="minorEastAsia"/>
          <w:sz w:val="32"/>
          <w:szCs w:val="32"/>
        </w:rPr>
        <w:t>本次会议由七项议题：一是由副会长单位青岛德固特节能装备股份有限公司魏振文总经理介绍公司情况；二是由孙贞安秘书长汇报协会换届以后近二个月的工作情况；三是由协会负责人解赞华同志通报协会换届以后近期重大事项；四是由协会负责人解赞华报告了《青岛市特种设备协会副会长轮值值班制度（征求意见稿）》，提请与参会人员对其进行讨论；五是由轮值会长单位徐斌同志提出协会工作计划并提请与会人员进行讨论；六是由常务副会长单位吕良广副院长对协会换届工作完成情况及下一步工作打算讲几点意见；七是由葛宝荣、王波带队参观青岛德固特节能装备股份有限公司、青岛凯能环保科技股份有限公司企业文化项目。</w:t>
      </w:r>
    </w:p>
    <w:p>
      <w:pPr>
        <w:ind w:firstLine="560" w:firstLineChars="200"/>
        <w:rPr>
          <w:rFonts w:hint="eastAsia" w:asciiTheme="minorEastAsia" w:hAnsiTheme="minorEastAsia"/>
          <w:sz w:val="32"/>
          <w:szCs w:val="32"/>
        </w:rPr>
      </w:pPr>
      <w:r>
        <w:rPr>
          <w:rFonts w:asciiTheme="minorEastAsia" w:hAnsiTheme="minorEastAsia"/>
          <w:kern w:val="0"/>
          <w:sz w:val="28"/>
          <w:szCs w:val="28"/>
        </w:rPr>
        <w:drawing>
          <wp:anchor distT="0" distB="0" distL="114300" distR="114300" simplePos="0" relativeHeight="459275264" behindDoc="1" locked="0" layoutInCell="1" allowOverlap="1">
            <wp:simplePos x="0" y="0"/>
            <wp:positionH relativeFrom="column">
              <wp:posOffset>2555875</wp:posOffset>
            </wp:positionH>
            <wp:positionV relativeFrom="paragraph">
              <wp:posOffset>1174115</wp:posOffset>
            </wp:positionV>
            <wp:extent cx="3437255" cy="2290445"/>
            <wp:effectExtent l="128270" t="90170" r="339725" b="343535"/>
            <wp:wrapTight wrapText="bothSides">
              <wp:wrapPolygon>
                <wp:start x="511" y="-850"/>
                <wp:lineTo x="-88" y="-491"/>
                <wp:lineTo x="-806" y="1126"/>
                <wp:lineTo x="-806" y="22504"/>
                <wp:lineTo x="511" y="24480"/>
                <wp:lineTo x="22179" y="24480"/>
                <wp:lineTo x="23495" y="22504"/>
                <wp:lineTo x="23495" y="1126"/>
                <wp:lineTo x="22897" y="-311"/>
                <wp:lineTo x="22179" y="-850"/>
                <wp:lineTo x="511" y="-850"/>
              </wp:wrapPolygon>
            </wp:wrapTight>
            <wp:docPr id="30" name="图片 30" descr="C:\Users\Administrator\Desktop\02.pn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02.png02"/>
                    <pic:cNvPicPr>
                      <a:picLocks noChangeAspect="1" noChangeArrowheads="1"/>
                    </pic:cNvPicPr>
                  </pic:nvPicPr>
                  <pic:blipFill>
                    <a:blip r:embed="rId20"/>
                    <a:srcRect/>
                    <a:stretch>
                      <a:fillRect/>
                    </a:stretch>
                  </pic:blipFill>
                  <pic:spPr>
                    <a:xfrm>
                      <a:off x="0" y="0"/>
                      <a:ext cx="3437255" cy="229044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asciiTheme="minorEastAsia" w:hAnsiTheme="minorEastAsia"/>
          <w:sz w:val="32"/>
          <w:szCs w:val="32"/>
        </w:rPr>
        <w:t>会上由青岛德固特总经理魏振文对介绍公司情况、组织架构、业务范围、技术交流等方面让更多人了解特种设备行业，与在座的副会长交流学习好的经验及做法。随后，常务副会长单位吕良广副院长就如何加强协会平台建设、促进副会长之间交流合作讲了几点意见。最后，由葛宝荣经理、王波总经理带队参观青岛德固特节能装备股份有限公司、青岛凯能环保科技股份有限公司企业文化项目，使副会长参观过程中受益颇多，对两家企业有了充分的了解。</w:t>
      </w:r>
    </w:p>
    <w:p>
      <w:pPr>
        <w:ind w:firstLine="640" w:firstLineChars="200"/>
        <w:rPr>
          <w:rFonts w:hint="eastAsia" w:asciiTheme="minorEastAsia" w:hAnsiTheme="minorEastAsia"/>
          <w:sz w:val="32"/>
          <w:szCs w:val="32"/>
        </w:rPr>
      </w:pPr>
      <w:r>
        <w:rPr>
          <w:rFonts w:hint="eastAsia" w:asciiTheme="minorEastAsia" w:hAnsiTheme="minorEastAsia"/>
          <w:sz w:val="32"/>
          <w:szCs w:val="32"/>
        </w:rPr>
        <w:t>整个会议在团结、友好、开创、进取的氛围中进行，各个参会会长开怀畅谈、进行交流，通过会议学习交流，搭建了平台，加深了解，增进了协会副会长之间的业务互补、技术支持，促进了合作。 </w:t>
      </w:r>
    </w:p>
    <w:p>
      <w:pPr>
        <w:widowControl/>
        <w:shd w:val="clear" w:color="auto" w:fill="FFFFFF"/>
        <w:spacing w:line="360" w:lineRule="auto"/>
        <w:ind w:firstLine="480" w:firstLineChars="200"/>
        <w:jc w:val="left"/>
        <w:rPr>
          <w:rFonts w:hint="eastAsia" w:ascii="仿宋_GB2312" w:cs="仿宋_GB2312"/>
          <w:sz w:val="24"/>
          <w:szCs w:val="24"/>
          <w:lang w:val="en-US" w:eastAsia="zh-CN"/>
        </w:rPr>
        <w:sectPr>
          <w:footerReference r:id="rId4" w:type="default"/>
          <w:pgSz w:w="11906" w:h="16838"/>
          <w:pgMar w:top="1440" w:right="1800" w:bottom="1440" w:left="1800" w:header="851" w:footer="992" w:gutter="0"/>
          <w:cols w:space="425" w:num="1"/>
          <w:docGrid w:type="lines" w:linePitch="312" w:charSpace="0"/>
        </w:sectPr>
      </w:pPr>
    </w:p>
    <w:p>
      <w:pPr>
        <w:pStyle w:val="13"/>
        <w:ind w:firstLine="720" w:firstLineChars="300"/>
        <w:rPr>
          <w:rFonts w:hint="eastAsia" w:ascii="仿宋_GB2312" w:cs="仿宋_GB2312"/>
          <w:sz w:val="24"/>
          <w:szCs w:val="24"/>
          <w:lang w:val="en-US" w:eastAsia="zh-CN"/>
        </w:rPr>
      </w:pPr>
    </w:p>
    <w:p>
      <w:pPr>
        <w:pStyle w:val="13"/>
        <w:rPr>
          <w:rFonts w:ascii="黑体" w:hAnsi="黑体" w:eastAsia="黑体"/>
          <w:kern w:val="0"/>
          <w:sz w:val="32"/>
          <w:szCs w:val="32"/>
        </w:rPr>
      </w:pPr>
      <w:r>
        <w:rPr>
          <w:rFonts w:hint="eastAsia" w:ascii="黑体" w:hAnsi="黑体" w:eastAsia="黑体"/>
          <w:kern w:val="0"/>
          <w:sz w:val="32"/>
          <w:szCs w:val="32"/>
          <w:shd w:val="pct10" w:color="auto" w:fill="FFFFFF"/>
        </w:rPr>
        <w:t>学习材料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textAlignment w:val="baseline"/>
        <w:rPr>
          <w:rFonts w:hint="eastAsia" w:asciiTheme="minorEastAsia" w:hAnsiTheme="minorEastAsia" w:eastAsiaTheme="minorEastAsia" w:cstheme="minorBidi"/>
          <w:b/>
          <w:kern w:val="2"/>
          <w:sz w:val="36"/>
          <w:szCs w:val="36"/>
          <w:lang w:val="en-US" w:eastAsia="zh-CN" w:bidi="ar-SA"/>
        </w:rPr>
      </w:pPr>
      <w:r>
        <w:rPr>
          <w:rFonts w:hint="eastAsia" w:asciiTheme="minorEastAsia" w:hAnsiTheme="minorEastAsia" w:eastAsiaTheme="minorEastAsia" w:cstheme="minorBidi"/>
          <w:b/>
          <w:kern w:val="2"/>
          <w:sz w:val="36"/>
          <w:szCs w:val="36"/>
          <w:lang w:val="en-US" w:eastAsia="zh-CN" w:bidi="ar-SA"/>
        </w:rPr>
        <w:t>哪些做法会导致锅炉爆炸?如何有效避免？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900" w:lineRule="atLeast"/>
        <w:ind w:left="0" w:right="0" w:firstLine="0"/>
        <w:jc w:val="both"/>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drawing>
          <wp:inline distT="0" distB="0" distL="114300" distR="114300">
            <wp:extent cx="5272405" cy="3509010"/>
            <wp:effectExtent l="0" t="0" r="4445" b="15240"/>
            <wp:docPr id="34" name="图片 3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1"/>
                    <pic:cNvPicPr>
                      <a:picLocks noChangeAspect="1"/>
                    </pic:cNvPicPr>
                  </pic:nvPicPr>
                  <pic:blipFill>
                    <a:blip r:embed="rId21"/>
                    <a:stretch>
                      <a:fillRect/>
                    </a:stretch>
                  </pic:blipFill>
                  <pic:spPr>
                    <a:xfrm>
                      <a:off x="0" y="0"/>
                      <a:ext cx="5272405" cy="3509010"/>
                    </a:xfrm>
                    <a:prstGeom prst="rect">
                      <a:avLst/>
                    </a:prstGeom>
                  </pic:spPr>
                </pic:pic>
              </a:graphicData>
            </a:graphic>
          </wp:inline>
        </w:drawing>
      </w:r>
    </w:p>
    <w:p>
      <w:pPr>
        <w:ind w:firstLine="640" w:firstLineChars="200"/>
        <w:rPr>
          <w:rFonts w:hint="eastAsia" w:asciiTheme="minorEastAsia" w:hAnsiTheme="minorEastAsia"/>
          <w:sz w:val="32"/>
          <w:szCs w:val="32"/>
        </w:rPr>
        <w:sectPr>
          <w:footerReference r:id="rId5" w:type="default"/>
          <w:pgSz w:w="11906" w:h="16838"/>
          <w:pgMar w:top="1440" w:right="1800" w:bottom="1440" w:left="1800" w:header="851" w:footer="992" w:gutter="0"/>
          <w:cols w:space="425" w:num="1"/>
          <w:docGrid w:type="lines" w:linePitch="312" w:charSpace="0"/>
        </w:sectPr>
      </w:pPr>
    </w:p>
    <w:p>
      <w:pPr>
        <w:ind w:firstLine="640" w:firstLineChars="200"/>
        <w:rPr>
          <w:rFonts w:hint="default" w:asciiTheme="minorEastAsia" w:hAnsiTheme="minorEastAsia"/>
          <w:sz w:val="32"/>
          <w:szCs w:val="32"/>
        </w:rPr>
      </w:pPr>
      <w:r>
        <w:rPr>
          <w:rFonts w:hint="eastAsia" w:asciiTheme="minorEastAsia" w:hAnsiTheme="minorEastAsia"/>
          <w:sz w:val="32"/>
          <w:szCs w:val="32"/>
        </w:rPr>
        <w:t>锅炉建造和废旧锅炉的回收事工业锅炉领域最大的资本支出之一。这些锅炉的运行可靠性和可用性对设施的盈利能力来说通常是至关重要的。这些部分的安全运行需要仔细关注许多因素。作为工业燃烧器领域的专家，了解这些可以为低氮燃烧器以及锅炉燃烧器的应用提供参考，不遵循一些行之有效的做法可能会导致灾难。"破坏锅炉"最常见的方式包括:</w:t>
      </w:r>
      <w:r>
        <w:rPr>
          <w:rFonts w:hint="eastAsia" w:asciiTheme="minorEastAsia" w:hAnsiTheme="minorEastAsia"/>
          <w:sz w:val="32"/>
          <w:szCs w:val="32"/>
        </w:rPr>
        <w:br w:type="textWrapping"/>
      </w:r>
      <w:r>
        <w:rPr>
          <w:rFonts w:hint="default" w:asciiTheme="minorEastAsia" w:hAnsiTheme="minorEastAsia"/>
          <w:sz w:val="32"/>
          <w:szCs w:val="32"/>
        </w:rPr>
        <w:t>1，燃料爆炸</w:t>
      </w:r>
      <w:r>
        <w:rPr>
          <w:rFonts w:hint="eastAsia" w:asciiTheme="minorEastAsia" w:hAnsiTheme="minorEastAsia"/>
          <w:sz w:val="32"/>
          <w:szCs w:val="32"/>
        </w:rPr>
        <w:br w:type="textWrapping"/>
      </w:r>
      <w:r>
        <w:rPr>
          <w:rFonts w:hint="default" w:asciiTheme="minorEastAsia" w:hAnsiTheme="minorEastAsia"/>
          <w:sz w:val="32"/>
          <w:szCs w:val="32"/>
        </w:rPr>
        <w:t>2，受污染的给水</w:t>
      </w:r>
      <w:r>
        <w:rPr>
          <w:rFonts w:hint="eastAsia" w:asciiTheme="minorEastAsia" w:hAnsiTheme="minorEastAsia"/>
          <w:sz w:val="32"/>
          <w:szCs w:val="32"/>
        </w:rPr>
        <w:br w:type="textWrapping"/>
      </w:r>
      <w:r>
        <w:rPr>
          <w:rFonts w:hint="default" w:asciiTheme="minorEastAsia" w:hAnsiTheme="minorEastAsia"/>
          <w:sz w:val="32"/>
          <w:szCs w:val="32"/>
        </w:rPr>
        <w:t>3，低水位条件</w:t>
      </w:r>
      <w:r>
        <w:rPr>
          <w:rFonts w:hint="eastAsia" w:asciiTheme="minorEastAsia" w:hAnsiTheme="minorEastAsia"/>
          <w:sz w:val="32"/>
          <w:szCs w:val="32"/>
        </w:rPr>
        <w:br w:type="textWrapping"/>
      </w:r>
      <w:r>
        <w:rPr>
          <w:rFonts w:hint="default" w:asciiTheme="minorEastAsia" w:hAnsiTheme="minorEastAsia"/>
          <w:sz w:val="32"/>
          <w:szCs w:val="32"/>
        </w:rPr>
        <w:t>4，糟糕的水处理</w:t>
      </w:r>
      <w:r>
        <w:rPr>
          <w:rFonts w:hint="eastAsia" w:asciiTheme="minorEastAsia" w:hAnsiTheme="minorEastAsia"/>
          <w:sz w:val="32"/>
          <w:szCs w:val="32"/>
        </w:rPr>
        <w:br w:type="textWrapping"/>
      </w:r>
      <w:r>
        <w:rPr>
          <w:rFonts w:hint="default" w:asciiTheme="minorEastAsia" w:hAnsiTheme="minorEastAsia"/>
          <w:sz w:val="32"/>
          <w:szCs w:val="32"/>
        </w:rPr>
        <w:t>5，存储不当</w:t>
      </w:r>
      <w:r>
        <w:rPr>
          <w:rFonts w:hint="eastAsia" w:asciiTheme="minorEastAsia" w:hAnsiTheme="minorEastAsia"/>
          <w:sz w:val="32"/>
          <w:szCs w:val="32"/>
        </w:rPr>
        <w:br w:type="textWrapping"/>
      </w:r>
      <w:r>
        <w:rPr>
          <w:rFonts w:hint="default" w:asciiTheme="minorEastAsia" w:hAnsiTheme="minorEastAsia"/>
          <w:sz w:val="32"/>
          <w:szCs w:val="32"/>
        </w:rPr>
        <w:t>6冲击损坏管</w:t>
      </w:r>
      <w:r>
        <w:rPr>
          <w:rFonts w:hint="eastAsia" w:asciiTheme="minorEastAsia" w:hAnsiTheme="minorEastAsia"/>
          <w:sz w:val="32"/>
          <w:szCs w:val="32"/>
        </w:rPr>
        <w:br w:type="textWrapping"/>
      </w:r>
      <w:r>
        <w:rPr>
          <w:rFonts w:hint="default" w:asciiTheme="minorEastAsia" w:hAnsiTheme="minorEastAsia"/>
          <w:sz w:val="32"/>
          <w:szCs w:val="32"/>
        </w:rPr>
        <w:t>7，火焰冲击</w:t>
      </w:r>
      <w:r>
        <w:rPr>
          <w:rFonts w:hint="eastAsia" w:asciiTheme="minorEastAsia" w:hAnsiTheme="minorEastAsia"/>
          <w:sz w:val="32"/>
          <w:szCs w:val="32"/>
        </w:rPr>
        <w:br w:type="textWrapping"/>
      </w:r>
      <w:r>
        <w:rPr>
          <w:rFonts w:hint="default" w:asciiTheme="minorEastAsia" w:hAnsiTheme="minorEastAsia"/>
          <w:sz w:val="32"/>
          <w:szCs w:val="32"/>
        </w:rPr>
        <w:t>8，燃料爆炸</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textAlignment w:val="baseline"/>
        <w:rPr>
          <w:rFonts w:hint="eastAsia" w:ascii="line-height:2;" w:hAnsi="line-height:2;" w:eastAsia="宋体" w:cs="line-height:2;"/>
          <w:i w:val="0"/>
          <w:caps w:val="0"/>
          <w:color w:val="5A5A5A"/>
          <w:spacing w:val="0"/>
          <w:sz w:val="24"/>
          <w:szCs w:val="24"/>
          <w:shd w:val="clear" w:fill="FFFFFF"/>
          <w:vertAlign w:val="baseline"/>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textAlignment w:val="baseline"/>
        <w:rPr>
          <w:rFonts w:hint="eastAsia" w:ascii="line-height:2;" w:hAnsi="line-height:2;" w:eastAsia="宋体" w:cs="line-height:2;"/>
          <w:i w:val="0"/>
          <w:caps w:val="0"/>
          <w:color w:val="5A5A5A"/>
          <w:spacing w:val="0"/>
          <w:sz w:val="24"/>
          <w:szCs w:val="24"/>
          <w:shd w:val="clear" w:fill="FFFFFF"/>
          <w:vertAlign w:val="baseline"/>
          <w:lang w:eastAsia="zh-CN"/>
        </w:rPr>
      </w:pPr>
      <w:r>
        <w:rPr>
          <w:rFonts w:hint="eastAsia" w:ascii="line-height:2;" w:hAnsi="line-height:2;" w:eastAsia="宋体" w:cs="line-height:2;"/>
          <w:i w:val="0"/>
          <w:caps w:val="0"/>
          <w:color w:val="5A5A5A"/>
          <w:spacing w:val="0"/>
          <w:sz w:val="24"/>
          <w:szCs w:val="24"/>
          <w:shd w:val="clear" w:fill="FFFFFF"/>
          <w:vertAlign w:val="baseline"/>
          <w:lang w:eastAsia="zh-CN"/>
        </w:rPr>
        <w:drawing>
          <wp:inline distT="0" distB="0" distL="114300" distR="114300">
            <wp:extent cx="5272405" cy="3509010"/>
            <wp:effectExtent l="0" t="0" r="4445" b="15240"/>
            <wp:docPr id="35" name="图片 3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2"/>
                    <pic:cNvPicPr>
                      <a:picLocks noChangeAspect="1"/>
                    </pic:cNvPicPr>
                  </pic:nvPicPr>
                  <pic:blipFill>
                    <a:blip r:embed="rId22"/>
                    <a:stretch>
                      <a:fillRect/>
                    </a:stretch>
                  </pic:blipFill>
                  <pic:spPr>
                    <a:xfrm>
                      <a:off x="0" y="0"/>
                      <a:ext cx="5272405" cy="3509010"/>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750" w:afterAutospacing="0"/>
        <w:ind w:left="0" w:right="0" w:firstLine="640" w:firstLineChars="200"/>
        <w:textAlignment w:val="baseline"/>
        <w:rPr>
          <w:rFonts w:hint="default" w:asciiTheme="minorEastAsia" w:hAnsiTheme="minorEastAsia" w:eastAsiaTheme="minorEastAsia" w:cstheme="minorBidi"/>
          <w:kern w:val="2"/>
          <w:sz w:val="32"/>
          <w:szCs w:val="32"/>
          <w:lang w:val="en-US" w:eastAsia="zh-CN" w:bidi="ar-SA"/>
        </w:rPr>
        <w:sectPr>
          <w:type w:val="continuous"/>
          <w:pgSz w:w="11906" w:h="16838"/>
          <w:pgMar w:top="1440" w:right="1800" w:bottom="1440" w:left="1800" w:header="851" w:footer="992" w:gutter="0"/>
          <w:cols w:space="425" w:num="1"/>
          <w:docGrid w:type="lines" w:linePitch="312" w:charSpace="0"/>
        </w:sect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750" w:afterAutospacing="0"/>
        <w:ind w:left="0" w:right="0" w:firstLine="640" w:firstLineChars="200"/>
        <w:jc w:val="left"/>
        <w:textAlignment w:val="baseline"/>
        <w:rPr>
          <w:rFonts w:hint="default" w:asciiTheme="minorEastAsia" w:hAnsiTheme="minorEastAsia" w:eastAsiaTheme="minorEastAsia" w:cstheme="minorBidi"/>
          <w:kern w:val="2"/>
          <w:sz w:val="32"/>
          <w:szCs w:val="32"/>
          <w:lang w:val="en-US" w:eastAsia="zh-CN" w:bidi="ar-SA"/>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default" w:asciiTheme="minorEastAsia" w:hAnsiTheme="minorEastAsia" w:eastAsiaTheme="minorEastAsia" w:cstheme="minorBidi"/>
          <w:kern w:val="2"/>
          <w:sz w:val="32"/>
          <w:szCs w:val="32"/>
          <w:lang w:val="en-US" w:eastAsia="zh-CN" w:bidi="ar-SA"/>
        </w:rPr>
        <w:t>锅炉运行中最危险的情况之一就是炉内的燃料爆炸。对于发生爆炸的条件必须恰到好处，并且当锅炉正常运行时，这种事件不可能发生。燃油爆炸最常见的原因是:</w:t>
      </w:r>
      <w:r>
        <w:rPr>
          <w:rFonts w:hint="default" w:asciiTheme="minorEastAsia" w:hAnsiTheme="minorEastAsia" w:eastAsiaTheme="minorEastAsia" w:cstheme="minorBidi"/>
          <w:kern w:val="2"/>
          <w:sz w:val="32"/>
          <w:szCs w:val="32"/>
          <w:lang w:val="en-US" w:eastAsia="zh-CN" w:bidi="ar-SA"/>
        </w:rPr>
        <w:br w:type="textWrapping"/>
      </w:r>
      <w:r>
        <w:rPr>
          <w:rFonts w:hint="eastAsia" w:asciiTheme="minorEastAsia" w:hAnsiTheme="minorEastAsia" w:cstheme="minorBidi"/>
          <w:kern w:val="2"/>
          <w:sz w:val="32"/>
          <w:szCs w:val="32"/>
          <w:lang w:val="en-US" w:eastAsia="zh-CN" w:bidi="ar-SA"/>
        </w:rPr>
        <w:t xml:space="preserve">    </w:t>
      </w:r>
      <w:r>
        <w:rPr>
          <w:rFonts w:hint="default" w:asciiTheme="minorEastAsia" w:hAnsiTheme="minorEastAsia" w:eastAsiaTheme="minorEastAsia" w:cstheme="minorBidi"/>
          <w:kern w:val="2"/>
          <w:sz w:val="32"/>
          <w:szCs w:val="32"/>
          <w:lang w:val="en-US" w:eastAsia="zh-CN" w:bidi="ar-SA"/>
        </w:rPr>
        <w:t>富含燃料的混合物 - 富含燃料的混合物的危险在于高浓度的未燃燃料可能积聚起来。当这种未燃烧的燃料点燃时，它可以非常快速的爆炸。在燃烧的燃料量不足的情况下，任何时候都可能发生富含燃料的混合物。切勿让空气进入到黑烟炉中。</w:t>
      </w:r>
      <w:r>
        <w:rPr>
          <w:rFonts w:hint="eastAsia" w:asciiTheme="minorEastAsia" w:hAnsiTheme="minorEastAsia" w:eastAsiaTheme="minorEastAsia" w:cstheme="minorBidi"/>
          <w:kern w:val="2"/>
          <w:sz w:val="32"/>
          <w:szCs w:val="32"/>
          <w:lang w:val="en-US" w:eastAsia="zh-CN" w:bidi="ar-SA"/>
        </w:rPr>
        <w:br w:type="textWrapping"/>
      </w:r>
      <w:r>
        <w:rPr>
          <w:rFonts w:hint="default" w:asciiTheme="minorEastAsia" w:hAnsiTheme="minorEastAsia" w:eastAsiaTheme="minorEastAsia" w:cstheme="minorBidi"/>
          <w:kern w:val="2"/>
          <w:sz w:val="32"/>
          <w:szCs w:val="32"/>
          <w:lang w:val="en-US" w:eastAsia="zh-CN" w:bidi="ar-SA"/>
        </w:rPr>
        <w:t>解决方案:</w:t>
      </w:r>
      <w:r>
        <w:rPr>
          <w:rFonts w:hint="eastAsia" w:asciiTheme="minorEastAsia" w:hAnsiTheme="minorEastAsia" w:eastAsiaTheme="minorEastAsia" w:cstheme="minorBidi"/>
          <w:kern w:val="2"/>
          <w:sz w:val="32"/>
          <w:szCs w:val="32"/>
          <w:lang w:val="en-US" w:eastAsia="zh-CN" w:bidi="ar-SA"/>
        </w:rPr>
        <w:br w:type="textWrapping"/>
      </w:r>
      <w:r>
        <w:rPr>
          <w:rFonts w:hint="default" w:asciiTheme="minorEastAsia" w:hAnsiTheme="minorEastAsia" w:eastAsiaTheme="minorEastAsia" w:cstheme="minorBidi"/>
          <w:kern w:val="2"/>
          <w:sz w:val="32"/>
          <w:szCs w:val="32"/>
          <w:lang w:val="en-US" w:eastAsia="zh-CN" w:bidi="ar-SA"/>
        </w:rPr>
        <w:t>让炉子彻底清洗。吹扫排空未燃烧气体，直到浓度低于爆炸极限。</w:t>
      </w:r>
      <w:r>
        <w:rPr>
          <w:rFonts w:hint="eastAsia" w:asciiTheme="minorEastAsia" w:hAnsiTheme="minorEastAsia" w:eastAsiaTheme="minorEastAsia" w:cstheme="minorBidi"/>
          <w:kern w:val="2"/>
          <w:sz w:val="32"/>
          <w:szCs w:val="32"/>
          <w:lang w:val="en-US" w:eastAsia="zh-CN" w:bidi="ar-SA"/>
        </w:rPr>
        <w:br w:type="textWrapping"/>
      </w:r>
      <w:r>
        <w:rPr>
          <w:rFonts w:hint="eastAsia" w:asciiTheme="minorEastAsia" w:hAnsiTheme="minorEastAsia" w:cstheme="minorBidi"/>
          <w:kern w:val="2"/>
          <w:sz w:val="32"/>
          <w:szCs w:val="32"/>
          <w:lang w:val="en-US" w:eastAsia="zh-CN" w:bidi="ar-SA"/>
        </w:rPr>
        <w:t xml:space="preserve">  </w:t>
      </w:r>
      <w:r>
        <w:rPr>
          <w:rFonts w:hint="default" w:asciiTheme="minorEastAsia" w:hAnsiTheme="minorEastAsia" w:eastAsiaTheme="minorEastAsia" w:cstheme="minorBidi"/>
          <w:kern w:val="2"/>
          <w:sz w:val="32"/>
          <w:szCs w:val="32"/>
          <w:lang w:val="en-US" w:eastAsia="zh-CN" w:bidi="ar-SA"/>
        </w:rPr>
        <w:t>低水位条件考虑到炉温超过1,800℉，钢水强度在800℉以上急剧下降，很容易想象由于低水情况对锅炉造成的严重甚至灾难性损坏的可能性。唯一能让锅炉承受这些炉温的唯一方法是在炉子的所有管子中都有水，以防火灾发生。如上所示，低水位条件会直接熔化钢锅炉管，其结果类似于生日蜡烛。</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750" w:afterAutospacing="0"/>
        <w:ind w:left="0" w:right="0" w:firstLine="640" w:firstLineChars="200"/>
        <w:textAlignment w:val="baseline"/>
        <w:rPr>
          <w:rFonts w:hint="default" w:asciiTheme="minorEastAsia" w:hAnsiTheme="minorEastAsia" w:eastAsiaTheme="minorEastAsia" w:cstheme="minorBidi"/>
          <w:kern w:val="2"/>
          <w:sz w:val="32"/>
          <w:szCs w:val="32"/>
          <w:lang w:val="en-US" w:eastAsia="zh-CN" w:bidi="ar-SA"/>
        </w:rPr>
        <w:sectPr>
          <w:type w:val="continuous"/>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Bidi"/>
          <w:kern w:val="2"/>
          <w:sz w:val="32"/>
          <w:szCs w:val="32"/>
          <w:lang w:val="en-US" w:eastAsia="zh-CN" w:bidi="ar-SA"/>
        </w:rPr>
        <w:drawing>
          <wp:inline distT="0" distB="0" distL="114300" distR="114300">
            <wp:extent cx="5400675" cy="3586480"/>
            <wp:effectExtent l="0" t="0" r="9525" b="13970"/>
            <wp:docPr id="36" name="图片 3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3"/>
                    <pic:cNvPicPr>
                      <a:picLocks noChangeAspect="1"/>
                    </pic:cNvPicPr>
                  </pic:nvPicPr>
                  <pic:blipFill>
                    <a:blip r:embed="rId23"/>
                    <a:stretch>
                      <a:fillRect/>
                    </a:stretch>
                  </pic:blipFill>
                  <pic:spPr>
                    <a:xfrm>
                      <a:off x="0" y="0"/>
                      <a:ext cx="5400675" cy="358648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textAlignment w:val="baseline"/>
        <w:rPr>
          <w:rFonts w:hint="default" w:ascii="line-height:2;" w:hAnsi="line-height:2;" w:eastAsia="line-height:2;" w:cs="line-height:2;"/>
          <w:i w:val="0"/>
          <w:caps w:val="0"/>
          <w:color w:val="5A5A5A"/>
          <w:spacing w:val="0"/>
          <w:sz w:val="24"/>
          <w:szCs w:val="24"/>
          <w:shd w:val="clear" w:fill="FFFFFF"/>
          <w:vertAlign w:val="baseline"/>
        </w:rPr>
      </w:pPr>
      <w:r>
        <w:rPr>
          <w:rFonts w:hint="default" w:asciiTheme="minorEastAsia" w:hAnsiTheme="minorEastAsia" w:eastAsiaTheme="minorEastAsia" w:cstheme="minorBidi"/>
          <w:kern w:val="2"/>
          <w:sz w:val="32"/>
          <w:szCs w:val="32"/>
          <w:lang w:val="en-US" w:eastAsia="zh-CN" w:bidi="ar-SA"/>
        </w:rPr>
        <w:t>典型的工业锅炉是"自然循环"锅炉。这些依靠热水和冷水之间的差异密度来提供循环。当水从管道中去除热量时，水温升高，并升至锅炉汽包。最终，传递足够的热量并产生蒸汽。较冷的给水取代了上升的水，从而产生自然循环。冷却水通过称为"降液管"的管子沉入水中。</w:t>
      </w:r>
      <w:r>
        <w:rPr>
          <w:rFonts w:hint="eastAsia" w:asciiTheme="minorEastAsia" w:hAnsiTheme="minorEastAsia" w:eastAsiaTheme="minorEastAsia" w:cstheme="minorBidi"/>
          <w:kern w:val="2"/>
          <w:sz w:val="32"/>
          <w:szCs w:val="32"/>
          <w:lang w:val="en-US" w:eastAsia="zh-CN" w:bidi="ar-SA"/>
        </w:rPr>
        <w:br w:type="textWrapping"/>
      </w:r>
      <w:r>
        <w:rPr>
          <w:rFonts w:hint="default" w:asciiTheme="minorEastAsia" w:hAnsiTheme="minorEastAsia" w:eastAsiaTheme="minorEastAsia" w:cstheme="minorBidi"/>
          <w:kern w:val="2"/>
          <w:sz w:val="32"/>
          <w:szCs w:val="32"/>
          <w:lang w:val="en-US" w:eastAsia="zh-CN" w:bidi="ar-SA"/>
        </w:rPr>
        <w:t>吸水管吸收热量，然后加热的水上升到蒸汽鼓。</w:t>
      </w:r>
      <w:r>
        <w:rPr>
          <w:rFonts w:hint="eastAsia" w:asciiTheme="minorEastAsia" w:hAnsiTheme="minorEastAsia" w:eastAsiaTheme="minorEastAsia" w:cstheme="minorBidi"/>
          <w:kern w:val="2"/>
          <w:sz w:val="32"/>
          <w:szCs w:val="32"/>
          <w:lang w:val="en-US" w:eastAsia="zh-CN" w:bidi="ar-SA"/>
        </w:rPr>
        <w:br w:type="textWrapping"/>
      </w:r>
      <w:r>
        <w:rPr>
          <w:rFonts w:hint="eastAsia" w:asciiTheme="minorEastAsia" w:hAnsiTheme="minorEastAsia" w:cstheme="minorBidi"/>
          <w:kern w:val="2"/>
          <w:sz w:val="32"/>
          <w:szCs w:val="32"/>
          <w:lang w:val="en-US" w:eastAsia="zh-CN" w:bidi="ar-SA"/>
        </w:rPr>
        <w:t xml:space="preserve">    </w:t>
      </w:r>
      <w:r>
        <w:rPr>
          <w:rFonts w:hint="default" w:asciiTheme="minorEastAsia" w:hAnsiTheme="minorEastAsia" w:eastAsiaTheme="minorEastAsia" w:cstheme="minorBidi"/>
          <w:kern w:val="2"/>
          <w:sz w:val="32"/>
          <w:szCs w:val="32"/>
          <w:lang w:val="en-US" w:eastAsia="zh-CN" w:bidi="ar-SA"/>
        </w:rPr>
        <w:t>由于对水的需求，现代锅炉配备了自动低水位跳闸开关。一些老式的锅炉可能没有这些相对便宜的设备。如果你的锅炉没有低水位的请开始安装。如果滚筒过热，所需的维修范围可以从翻新到完全销毁。在低水位时，低水位会使燃烧器跳闸，并关闭强制通风机。这些旅程应安装在防止损坏的水位。正常的操作水平通常靠近蒸汽筒的中心线。</w:t>
      </w:r>
      <w:r>
        <w:rPr>
          <w:rFonts w:hint="eastAsia" w:asciiTheme="minorEastAsia" w:hAnsiTheme="minorEastAsia" w:eastAsiaTheme="minorEastAsia" w:cstheme="minorBidi"/>
          <w:kern w:val="2"/>
          <w:sz w:val="32"/>
          <w:szCs w:val="32"/>
          <w:lang w:val="en-US" w:eastAsia="zh-CN" w:bidi="ar-SA"/>
        </w:rPr>
        <w:br w:type="textWrapping"/>
      </w:r>
      <w:r>
        <w:rPr>
          <w:rFonts w:hint="eastAsia" w:asciiTheme="minorEastAsia" w:hAnsiTheme="minorEastAsia" w:cstheme="minorBidi"/>
          <w:kern w:val="2"/>
          <w:sz w:val="32"/>
          <w:szCs w:val="32"/>
          <w:lang w:val="en-US" w:eastAsia="zh-CN" w:bidi="ar-SA"/>
        </w:rPr>
        <w:t xml:space="preserve">    </w:t>
      </w:r>
      <w:r>
        <w:rPr>
          <w:rFonts w:hint="eastAsia" w:asciiTheme="minorEastAsia" w:hAnsiTheme="minorEastAsia" w:eastAsiaTheme="minorEastAsia" w:cstheme="minorBidi"/>
          <w:kern w:val="2"/>
          <w:sz w:val="32"/>
          <w:szCs w:val="32"/>
          <w:lang w:val="en-US" w:eastAsia="zh-CN" w:bidi="ar-SA"/>
        </w:rPr>
        <w:t>使用</w:t>
      </w:r>
      <w:r>
        <w:rPr>
          <w:rFonts w:hint="default" w:asciiTheme="minorEastAsia" w:hAnsiTheme="minorEastAsia" w:eastAsiaTheme="minorEastAsia" w:cstheme="minorBidi"/>
          <w:kern w:val="2"/>
          <w:sz w:val="32"/>
          <w:szCs w:val="32"/>
          <w:lang w:val="en-US" w:eastAsia="zh-CN" w:bidi="ar-SA"/>
        </w:rPr>
        <w:t>固体燃料的锅炉可能造成的损害更为严重。当您将燃烧器绊倒时，应立即停止输入热量。</w:t>
      </w:r>
      <w:r>
        <w:rPr>
          <w:rFonts w:hint="eastAsia" w:asciiTheme="minorEastAsia" w:hAnsiTheme="minorEastAsia" w:eastAsiaTheme="minorEastAsia" w:cstheme="minorBidi"/>
          <w:kern w:val="2"/>
          <w:sz w:val="32"/>
          <w:szCs w:val="32"/>
          <w:lang w:val="en-US" w:eastAsia="zh-CN" w:bidi="ar-SA"/>
        </w:rPr>
        <w:br w:type="textWrapping"/>
      </w:r>
      <w:r>
        <w:rPr>
          <w:rFonts w:hint="eastAsia" w:asciiTheme="minorEastAsia" w:hAnsiTheme="minorEastAsia" w:cstheme="minorBidi"/>
          <w:kern w:val="2"/>
          <w:sz w:val="32"/>
          <w:szCs w:val="32"/>
          <w:lang w:val="en-US" w:eastAsia="zh-CN" w:bidi="ar-SA"/>
        </w:rPr>
        <w:t xml:space="preserve">    </w:t>
      </w:r>
      <w:r>
        <w:rPr>
          <w:rFonts w:hint="default" w:asciiTheme="minorEastAsia" w:hAnsiTheme="minorEastAsia" w:eastAsiaTheme="minorEastAsia" w:cstheme="minorBidi"/>
          <w:kern w:val="2"/>
          <w:sz w:val="32"/>
          <w:szCs w:val="32"/>
          <w:lang w:val="en-US" w:eastAsia="zh-CN" w:bidi="ar-SA"/>
        </w:rPr>
        <w:t>即使最好的调谐控制系统也不能总是防止低水位的情况。汽包中的"水位"实际上是一种相当不稳定的水和蒸汽泡的可压缩混合物，当压力变化时会收缩和膨胀，而当加入更多的"冷"给水时，实际上会瞬间收缩。</w:t>
      </w:r>
      <w:r>
        <w:rPr>
          <w:rFonts w:hint="eastAsia" w:asciiTheme="minorEastAsia" w:hAnsiTheme="minorEastAsia" w:eastAsiaTheme="minorEastAsia" w:cstheme="minorBidi"/>
          <w:kern w:val="2"/>
          <w:sz w:val="32"/>
          <w:szCs w:val="32"/>
          <w:lang w:val="en-US" w:eastAsia="zh-CN" w:bidi="ar-SA"/>
        </w:rPr>
        <w:br w:type="textWrapping"/>
      </w:r>
      <w:r>
        <w:rPr>
          <w:rFonts w:hint="default" w:asciiTheme="minorEastAsia" w:hAnsiTheme="minorEastAsia" w:eastAsiaTheme="minorEastAsia" w:cstheme="minorBidi"/>
          <w:kern w:val="2"/>
          <w:sz w:val="32"/>
          <w:szCs w:val="32"/>
          <w:lang w:val="en-US" w:eastAsia="zh-CN" w:bidi="ar-SA"/>
        </w:rPr>
        <w:t>低水情况的一些常见原因包括:</w:t>
      </w:r>
      <w:r>
        <w:rPr>
          <w:rFonts w:hint="eastAsia" w:asciiTheme="minorEastAsia" w:hAnsiTheme="minorEastAsia" w:eastAsiaTheme="minorEastAsia" w:cstheme="minorBidi"/>
          <w:kern w:val="2"/>
          <w:sz w:val="32"/>
          <w:szCs w:val="32"/>
          <w:lang w:val="en-US" w:eastAsia="zh-CN" w:bidi="ar-SA"/>
        </w:rPr>
        <w:br w:type="textWrapping"/>
      </w:r>
      <w:r>
        <w:rPr>
          <w:rFonts w:hint="default" w:asciiTheme="minorEastAsia" w:hAnsiTheme="minorEastAsia" w:eastAsiaTheme="minorEastAsia" w:cstheme="minorBidi"/>
          <w:kern w:val="2"/>
          <w:sz w:val="32"/>
          <w:szCs w:val="32"/>
          <w:lang w:val="en-US" w:eastAsia="zh-CN" w:bidi="ar-SA"/>
        </w:rPr>
        <w:t>1，给水泵故障</w:t>
      </w:r>
      <w:r>
        <w:rPr>
          <w:rFonts w:hint="eastAsia" w:asciiTheme="minorEastAsia" w:hAnsiTheme="minorEastAsia" w:eastAsiaTheme="minorEastAsia" w:cstheme="minorBidi"/>
          <w:kern w:val="2"/>
          <w:sz w:val="32"/>
          <w:szCs w:val="32"/>
          <w:lang w:val="en-US" w:eastAsia="zh-CN" w:bidi="ar-SA"/>
        </w:rPr>
        <w:br w:type="textWrapping"/>
      </w:r>
      <w:r>
        <w:rPr>
          <w:rFonts w:hint="default" w:asciiTheme="minorEastAsia" w:hAnsiTheme="minorEastAsia" w:eastAsiaTheme="minorEastAsia" w:cstheme="minorBidi"/>
          <w:kern w:val="2"/>
          <w:sz w:val="32"/>
          <w:szCs w:val="32"/>
          <w:lang w:val="en-US" w:eastAsia="zh-CN" w:bidi="ar-SA"/>
        </w:rPr>
        <w:t>2，控制阀故障</w:t>
      </w:r>
      <w:r>
        <w:rPr>
          <w:rFonts w:hint="eastAsia" w:asciiTheme="minorEastAsia" w:hAnsiTheme="minorEastAsia" w:eastAsiaTheme="minorEastAsia" w:cstheme="minorBidi"/>
          <w:kern w:val="2"/>
          <w:sz w:val="32"/>
          <w:szCs w:val="32"/>
          <w:lang w:val="en-US" w:eastAsia="zh-CN" w:bidi="ar-SA"/>
        </w:rPr>
        <w:br w:type="textWrapping"/>
      </w:r>
      <w:r>
        <w:rPr>
          <w:rFonts w:hint="default" w:asciiTheme="minorEastAsia" w:hAnsiTheme="minorEastAsia" w:eastAsiaTheme="minorEastAsia" w:cstheme="minorBidi"/>
          <w:kern w:val="2"/>
          <w:sz w:val="32"/>
          <w:szCs w:val="32"/>
          <w:lang w:val="en-US" w:eastAsia="zh-CN" w:bidi="ar-SA"/>
        </w:rPr>
        <w:t>3，失水或补水系统失水</w:t>
      </w:r>
      <w:r>
        <w:rPr>
          <w:rFonts w:hint="eastAsia" w:asciiTheme="minorEastAsia" w:hAnsiTheme="minorEastAsia" w:eastAsiaTheme="minorEastAsia" w:cstheme="minorBidi"/>
          <w:kern w:val="2"/>
          <w:sz w:val="32"/>
          <w:szCs w:val="32"/>
          <w:lang w:val="en-US" w:eastAsia="zh-CN" w:bidi="ar-SA"/>
        </w:rPr>
        <w:br w:type="textWrapping"/>
      </w:r>
      <w:r>
        <w:rPr>
          <w:rFonts w:hint="default" w:asciiTheme="minorEastAsia" w:hAnsiTheme="minorEastAsia" w:eastAsiaTheme="minorEastAsia" w:cstheme="minorBidi"/>
          <w:kern w:val="2"/>
          <w:sz w:val="32"/>
          <w:szCs w:val="32"/>
          <w:lang w:val="en-US" w:eastAsia="zh-CN" w:bidi="ar-SA"/>
        </w:rPr>
        <w:t>4，鼓音量控制器故障</w:t>
      </w:r>
      <w:r>
        <w:rPr>
          <w:rFonts w:hint="eastAsia" w:asciiTheme="minorEastAsia" w:hAnsiTheme="minorEastAsia" w:eastAsiaTheme="minorEastAsia" w:cstheme="minorBidi"/>
          <w:kern w:val="2"/>
          <w:sz w:val="32"/>
          <w:szCs w:val="32"/>
          <w:lang w:val="en-US" w:eastAsia="zh-CN" w:bidi="ar-SA"/>
        </w:rPr>
        <w:br w:type="textWrapping"/>
      </w:r>
      <w:r>
        <w:rPr>
          <w:rFonts w:hint="default" w:asciiTheme="minorEastAsia" w:hAnsiTheme="minorEastAsia" w:eastAsiaTheme="minorEastAsia" w:cstheme="minorBidi"/>
          <w:kern w:val="2"/>
          <w:sz w:val="32"/>
          <w:szCs w:val="32"/>
          <w:lang w:val="en-US" w:eastAsia="zh-CN" w:bidi="ar-SA"/>
        </w:rPr>
        <w:t>5，感光鼓水平控制器无意中处于"手动"位置</w:t>
      </w:r>
      <w:r>
        <w:rPr>
          <w:rFonts w:hint="eastAsia" w:asciiTheme="minorEastAsia" w:hAnsiTheme="minorEastAsia" w:eastAsiaTheme="minorEastAsia" w:cstheme="minorBidi"/>
          <w:kern w:val="2"/>
          <w:sz w:val="32"/>
          <w:szCs w:val="32"/>
          <w:lang w:val="en-US" w:eastAsia="zh-CN" w:bidi="ar-SA"/>
        </w:rPr>
        <w:br w:type="textWrapping"/>
      </w:r>
      <w:r>
        <w:rPr>
          <w:rFonts w:hint="default" w:asciiTheme="minorEastAsia" w:hAnsiTheme="minorEastAsia" w:eastAsiaTheme="minorEastAsia" w:cstheme="minorBidi"/>
          <w:kern w:val="2"/>
          <w:sz w:val="32"/>
          <w:szCs w:val="32"/>
          <w:lang w:val="en-US" w:eastAsia="zh-CN" w:bidi="ar-SA"/>
        </w:rPr>
        <w:t>6，控制阀执行器的设备空气压力损失</w:t>
      </w:r>
      <w:r>
        <w:rPr>
          <w:rFonts w:hint="eastAsia" w:asciiTheme="minorEastAsia" w:hAnsiTheme="minorEastAsia" w:eastAsiaTheme="minorEastAsia" w:cstheme="minorBidi"/>
          <w:kern w:val="2"/>
          <w:sz w:val="32"/>
          <w:szCs w:val="32"/>
          <w:lang w:val="en-US" w:eastAsia="zh-CN" w:bidi="ar-SA"/>
        </w:rPr>
        <w:br w:type="textWrapping"/>
      </w:r>
      <w:r>
        <w:rPr>
          <w:rFonts w:hint="default" w:asciiTheme="minorEastAsia" w:hAnsiTheme="minorEastAsia" w:eastAsiaTheme="minorEastAsia" w:cstheme="minorBidi"/>
          <w:kern w:val="2"/>
          <w:sz w:val="32"/>
          <w:szCs w:val="32"/>
          <w:lang w:val="en-US" w:eastAsia="zh-CN" w:bidi="ar-SA"/>
        </w:rPr>
        <w:t>7，安全阀提升</w:t>
      </w:r>
      <w:r>
        <w:rPr>
          <w:rFonts w:hint="eastAsia" w:asciiTheme="minorEastAsia" w:hAnsiTheme="minorEastAsia" w:eastAsiaTheme="minorEastAsia" w:cstheme="minorBidi"/>
          <w:kern w:val="2"/>
          <w:sz w:val="32"/>
          <w:szCs w:val="32"/>
          <w:lang w:val="en-US" w:eastAsia="zh-CN" w:bidi="ar-SA"/>
        </w:rPr>
        <w:br w:type="textWrapping"/>
      </w:r>
      <w:r>
        <w:rPr>
          <w:rFonts w:hint="default" w:asciiTheme="minorEastAsia" w:hAnsiTheme="minorEastAsia" w:eastAsiaTheme="minorEastAsia" w:cstheme="minorBidi"/>
          <w:kern w:val="2"/>
          <w:sz w:val="32"/>
          <w:szCs w:val="32"/>
          <w:lang w:val="en-US" w:eastAsia="zh-CN" w:bidi="ar-SA"/>
        </w:rPr>
        <w:t>8，蒸汽负荷突然变大</w:t>
      </w:r>
      <w:r>
        <w:rPr>
          <w:rFonts w:hint="eastAsia" w:asciiTheme="minorEastAsia" w:hAnsiTheme="minorEastAsia" w:eastAsiaTheme="minorEastAsia" w:cstheme="minorBidi"/>
          <w:kern w:val="2"/>
          <w:sz w:val="32"/>
          <w:szCs w:val="32"/>
          <w:lang w:val="en-US" w:eastAsia="zh-CN" w:bidi="ar-SA"/>
        </w:rPr>
        <w:br w:type="textWrapping"/>
      </w:r>
      <w:r>
        <w:rPr>
          <w:rFonts w:hint="eastAsia" w:asciiTheme="minorEastAsia" w:hAnsiTheme="minorEastAsia" w:cstheme="minorBidi"/>
          <w:kern w:val="2"/>
          <w:sz w:val="32"/>
          <w:szCs w:val="32"/>
          <w:lang w:val="en-US" w:eastAsia="zh-CN" w:bidi="ar-SA"/>
        </w:rPr>
        <w:t xml:space="preserve">    </w:t>
      </w:r>
      <w:r>
        <w:rPr>
          <w:rFonts w:hint="default" w:asciiTheme="minorEastAsia" w:hAnsiTheme="minorEastAsia" w:eastAsiaTheme="minorEastAsia" w:cstheme="minorBidi"/>
          <w:kern w:val="2"/>
          <w:sz w:val="32"/>
          <w:szCs w:val="32"/>
          <w:lang w:val="en-US" w:eastAsia="zh-CN" w:bidi="ar-SA"/>
        </w:rPr>
        <w:t>这是一个普遍的问题，蒸汽锅炉的不适当的预热是锅炉必须承受的最严重的困难之一。经历任何锅炉的启动，运行和停机循环，都会产生较高的设备应力，因此，在最大额定容量下的连续运行会导致更多的维护类型问题。任何设备如锅炉，飞机机身或燃烧发动机经历从周围的非使用状态到运行状况的极度转变都会受到疲劳和失效的影响。良好的设计和在这些条件之间缓慢转换的过程对延长锅炉使用寿命和减少故障的可能性至关重要。</w:t>
      </w:r>
    </w:p>
    <w:p>
      <w:pPr>
        <w:widowControl/>
        <w:pBdr>
          <w:bottom w:val="single" w:color="E7E7EB" w:sz="6" w:space="8"/>
        </w:pBdr>
        <w:shd w:val="clear" w:color="auto" w:fill="FFFFFF"/>
        <w:spacing w:before="100" w:beforeAutospacing="1" w:after="75"/>
        <w:jc w:val="both"/>
        <w:outlineLvl w:val="1"/>
        <w:rPr>
          <w:rFonts w:hint="eastAsia" w:ascii="黑体" w:hAnsi="黑体" w:eastAsia="黑体" w:cs="宋体"/>
          <w:kern w:val="0"/>
          <w:sz w:val="28"/>
          <w:szCs w:val="28"/>
          <w:shd w:val="pct10" w:color="auto" w:fill="FFFFFF"/>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widowControl/>
        <w:pBdr>
          <w:bottom w:val="single" w:color="E7E7EB" w:sz="6" w:space="8"/>
        </w:pBdr>
        <w:shd w:val="clear" w:color="auto" w:fill="FFFFFF"/>
        <w:spacing w:before="100" w:beforeAutospacing="1" w:after="75"/>
        <w:jc w:val="both"/>
        <w:outlineLvl w:val="1"/>
        <w:rPr>
          <w:rFonts w:hint="eastAsia" w:ascii="黑体" w:hAnsi="黑体" w:eastAsia="黑体" w:cs="宋体"/>
          <w:kern w:val="0"/>
          <w:sz w:val="28"/>
          <w:szCs w:val="28"/>
          <w:shd w:val="pct10" w:color="auto" w:fill="FFFFFF"/>
          <w:lang w:eastAsia="zh-CN"/>
        </w:rPr>
      </w:pPr>
      <w:r>
        <w:rPr>
          <w:rFonts w:hint="eastAsia" w:ascii="黑体" w:hAnsi="黑体" w:eastAsia="黑体" w:cs="宋体"/>
          <w:kern w:val="0"/>
          <w:sz w:val="28"/>
          <w:szCs w:val="28"/>
          <w:shd w:val="pct10" w:color="auto" w:fill="FFFFFF"/>
          <w:lang w:eastAsia="zh-CN"/>
        </w:rPr>
        <w:t>政策法规</w:t>
      </w:r>
    </w:p>
    <w:p>
      <w:pPr>
        <w:pStyle w:val="2"/>
        <w:keepNext w:val="0"/>
        <w:keepLines w:val="0"/>
        <w:widowControl/>
        <w:suppressLineNumbers w:val="0"/>
        <w:spacing w:before="0" w:beforeAutospacing="0" w:after="0" w:afterAutospacing="0" w:line="360" w:lineRule="atLeast"/>
        <w:ind w:left="0" w:right="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shd w:val="clear" w:color="auto" w:fill="FFFFFF"/>
        </w:rPr>
        <w:t>中华人民共和国</w:t>
      </w:r>
      <w:r>
        <w:rPr>
          <w:rFonts w:hint="eastAsia" w:ascii="方正小标宋简体" w:hAnsi="方正小标宋简体" w:eastAsia="方正小标宋简体" w:cs="方正小标宋简体"/>
          <w:b w:val="0"/>
          <w:bCs/>
          <w:sz w:val="44"/>
          <w:szCs w:val="44"/>
          <w:shd w:val="clear" w:color="auto" w:fill="FFFFFF"/>
          <w:lang w:eastAsia="zh-CN"/>
        </w:rPr>
        <w:t>网络</w:t>
      </w:r>
      <w:r>
        <w:rPr>
          <w:rFonts w:hint="eastAsia" w:ascii="方正小标宋简体" w:hAnsi="方正小标宋简体" w:eastAsia="方正小标宋简体" w:cs="方正小标宋简体"/>
          <w:b w:val="0"/>
          <w:bCs/>
          <w:sz w:val="44"/>
          <w:szCs w:val="44"/>
          <w:shd w:val="clear" w:color="auto" w:fill="FFFFFF"/>
        </w:rPr>
        <w:t>安全法</w:t>
      </w:r>
    </w:p>
    <w:p>
      <w:pPr>
        <w:widowControl/>
        <w:shd w:val="clear" w:color="auto" w:fill="FFFFFF"/>
        <w:spacing w:line="300" w:lineRule="atLeast"/>
        <w:rPr>
          <w:rFonts w:ascii="微软雅黑" w:hAnsi="微软雅黑" w:eastAsia="微软雅黑" w:cs="宋体"/>
          <w:vanish/>
          <w:kern w:val="0"/>
          <w:sz w:val="2"/>
          <w:szCs w:val="2"/>
        </w:rPr>
      </w:pPr>
      <w:r>
        <w:rPr>
          <w:rFonts w:hint="eastAsia" w:ascii="微软雅黑" w:hAnsi="微软雅黑" w:eastAsia="微软雅黑" w:cs="宋体"/>
          <w:b/>
          <w:bCs/>
          <w:vanish/>
          <w:kern w:val="0"/>
          <w:sz w:val="2"/>
          <w:szCs w:val="2"/>
        </w:rPr>
        <w:t>文成县普法办</w:t>
      </w:r>
      <w:r>
        <w:rPr>
          <w:rFonts w:hint="eastAsia" w:ascii="微软雅黑" w:hAnsi="微软雅黑" w:eastAsia="微软雅黑" w:cs="宋体"/>
          <w:vanish/>
          <w:kern w:val="0"/>
          <w:sz w:val="2"/>
          <w:szCs w:val="2"/>
        </w:rPr>
        <w:t xml:space="preserve"> </w:t>
      </w:r>
      <w:r>
        <w:rPr>
          <w:rFonts w:ascii="微软雅黑" w:hAnsi="微软雅黑" w:eastAsia="微软雅黑" w:cs="宋体"/>
          <w:vanish/>
          <w:kern w:val="0"/>
          <w:sz w:val="2"/>
          <w:szCs w:val="2"/>
        </w:rPr>
        <mc:AlternateContent>
          <mc:Choice Requires="wps">
            <w:drawing>
              <wp:inline distT="0" distB="0" distL="114300" distR="114300">
                <wp:extent cx="304800" cy="304800"/>
                <wp:effectExtent l="0" t="0" r="0" b="0"/>
                <wp:docPr id="1" name="矩形 2" descr="http://mp.weixin.qq.com/s?__biz=MjM5MDEwNDgxNA==&amp;mid=200455536&amp;idx=2&amp;sn=d2ba9a040f5f6df0981444fed7f01d78&amp;3rd=MzA3MDU4NTYzMw==&amp;scene=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矩形 2" o:spid="_x0000_s1026" o:spt="1" alt="http://mp.weixin.qq.com/s?__biz=MjM5MDEwNDgxNA==&amp;mid=200455536&amp;idx=2&amp;sn=d2ba9a040f5f6df0981444fed7f01d78&amp;3rd=MzA3MDU4NTYzMw==&amp;scene=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8yWdNIAAAADAQAADwAAAAAAAAABACAAAAAi&#10;AAAAZHJzL2Rvd25yZXYueG1sUEsBAhQAFAAAAAgAh07iQEqmNRkQAgAAvgMAAA4AAAAAAAAAAQAg&#10;AAAAIQEAAGRycy9lMm9Eb2MueG1sUEsFBgAAAAAGAAYAWQEAAKMFAAAAAA==&#10;">
                <v:fill on="f" focussize="0,0"/>
                <v:stroke on="f"/>
                <v:imagedata o:title=""/>
                <o:lock v:ext="edit" aspectratio="t"/>
                <w10:wrap type="none"/>
                <w10:anchorlock/>
              </v:rect>
            </w:pict>
          </mc:Fallback>
        </mc:AlternateContent>
      </w:r>
    </w:p>
    <w:p>
      <w:pPr>
        <w:widowControl/>
        <w:shd w:val="clear" w:color="auto" w:fill="FFFFFF"/>
        <w:spacing w:before="100" w:beforeAutospacing="1" w:after="100" w:afterAutospacing="1" w:line="300" w:lineRule="atLeast"/>
        <w:rPr>
          <w:rFonts w:ascii="微软雅黑" w:hAnsi="微软雅黑" w:eastAsia="微软雅黑" w:cs="宋体"/>
          <w:vanish/>
          <w:kern w:val="0"/>
          <w:sz w:val="2"/>
          <w:szCs w:val="2"/>
        </w:rPr>
      </w:pPr>
      <w:r>
        <w:rPr>
          <w:rFonts w:hint="eastAsia" w:ascii="微软雅黑" w:hAnsi="微软雅黑" w:eastAsia="微软雅黑" w:cs="宋体"/>
          <w:vanish/>
          <w:kern w:val="0"/>
          <w:sz w:val="2"/>
          <w:szCs w:val="2"/>
        </w:rPr>
        <w:t xml:space="preserve">微信号 wencxpfb </w:t>
      </w:r>
    </w:p>
    <w:p>
      <w:pPr>
        <w:widowControl/>
        <w:shd w:val="clear" w:color="auto" w:fill="FFFFFF"/>
        <w:spacing w:before="100" w:beforeAutospacing="1" w:after="100" w:afterAutospacing="1" w:line="300" w:lineRule="atLeast"/>
        <w:rPr>
          <w:rFonts w:ascii="微软雅黑" w:hAnsi="微软雅黑" w:eastAsia="微软雅黑" w:cs="宋体"/>
          <w:vanish/>
          <w:kern w:val="0"/>
          <w:sz w:val="2"/>
          <w:szCs w:val="2"/>
        </w:rPr>
      </w:pPr>
      <w:r>
        <w:rPr>
          <w:rFonts w:hint="eastAsia" w:ascii="微软雅黑" w:hAnsi="微软雅黑" w:eastAsia="微软雅黑" w:cs="宋体"/>
          <w:vanish/>
          <w:kern w:val="0"/>
          <w:sz w:val="2"/>
          <w:szCs w:val="2"/>
        </w:rPr>
        <w:t xml:space="preserve">功能介绍 文成县普法办微信公众平台是由县普法办开通的普法栏目，栏目主要是结合当前社会舆论主流、文成热点热门案件定期发布法律专题知识，生动法律案例、律师点评分析、普法知识有奖问答等。引导文成人更好的学法、知法、守法、信法。 </w:t>
      </w:r>
    </w:p>
    <w:p>
      <w:pPr>
        <w:pStyle w:val="13"/>
        <w:tabs>
          <w:tab w:val="left" w:pos="3969"/>
          <w:tab w:val="left" w:pos="4395"/>
        </w:tabs>
        <w:spacing w:line="360" w:lineRule="auto"/>
        <w:jc w:val="center"/>
        <w:rPr>
          <w:sz w:val="24"/>
          <w:szCs w:val="24"/>
        </w:rPr>
      </w:pPr>
      <w:r>
        <w:rPr>
          <w:sz w:val="24"/>
          <w:szCs w:val="24"/>
        </w:rPr>
        <w:drawing>
          <wp:inline distT="0" distB="0" distL="0" distR="0">
            <wp:extent cx="3704590" cy="2289810"/>
            <wp:effectExtent l="88900" t="88900" r="92710" b="97790"/>
            <wp:docPr id="8" name="图片 8" descr="C:\Users\Administrator\Desktop\01.jp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01.jpg01"/>
                    <pic:cNvPicPr>
                      <a:picLocks noChangeAspect="1" noChangeArrowheads="1"/>
                    </pic:cNvPicPr>
                  </pic:nvPicPr>
                  <pic:blipFill>
                    <a:blip r:embed="rId24"/>
                    <a:srcRect/>
                    <a:stretch>
                      <a:fillRect/>
                    </a:stretch>
                  </pic:blipFill>
                  <pic:spPr>
                    <a:xfrm>
                      <a:off x="0" y="0"/>
                      <a:ext cx="3704590" cy="2289810"/>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inline>
        </w:drawing>
      </w:r>
    </w:p>
    <w:p>
      <w:pPr>
        <w:pStyle w:val="13"/>
        <w:spacing w:line="400" w:lineRule="exact"/>
        <w:rPr>
          <w:sz w:val="24"/>
          <w:szCs w:val="24"/>
        </w:rPr>
        <w:sectPr>
          <w:type w:val="continuous"/>
          <w:pgSz w:w="11906" w:h="16838"/>
          <w:pgMar w:top="1440" w:right="1800" w:bottom="1440" w:left="1800" w:header="851" w:footer="992" w:gutter="0"/>
          <w:cols w:space="425" w:num="1"/>
          <w:docGrid w:type="lines" w:linePitch="312" w:charSpace="0"/>
        </w:sectPr>
      </w:pPr>
      <w:r>
        <w:rPr>
          <w:sz w:val="24"/>
          <w:szCs w:val="24"/>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ascii="微软雅黑" w:hAnsi="微软雅黑" w:eastAsia="微软雅黑" w:cs="微软雅黑"/>
          <w:i w:val="0"/>
          <w:caps w:val="0"/>
          <w:color w:val="999999"/>
          <w:spacing w:val="0"/>
          <w:sz w:val="18"/>
          <w:szCs w:val="18"/>
        </w:rPr>
      </w:pPr>
      <w:bookmarkStart w:id="0" w:name="sub1885305_3_1"/>
      <w:bookmarkEnd w:id="0"/>
      <w:bookmarkStart w:id="1" w:name="3_1"/>
      <w:bookmarkEnd w:id="1"/>
      <w:bookmarkStart w:id="2" w:name="中华人民共和国食品安全法_第一章 总则"/>
      <w:bookmarkEnd w:id="2"/>
      <w:r>
        <w:rPr>
          <w:i w:val="0"/>
          <w:caps w:val="0"/>
          <w:color w:val="333333"/>
          <w:spacing w:val="0"/>
          <w:sz w:val="36"/>
          <w:szCs w:val="36"/>
        </w:rPr>
        <w:t>中华人民共和国网络安全法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textAlignment w:val="baseline"/>
        <w:rPr>
          <w:rFonts w:hint="default" w:asciiTheme="minorEastAsia" w:hAnsiTheme="minorEastAsia" w:eastAsiaTheme="minorEastAsia" w:cstheme="minorBidi"/>
          <w:kern w:val="2"/>
          <w:sz w:val="32"/>
          <w:szCs w:val="32"/>
          <w:lang w:val="en-US" w:eastAsia="zh-CN" w:bidi="ar-SA"/>
        </w:rPr>
      </w:pPr>
      <w:r>
        <w:rPr>
          <w:rFonts w:hint="eastAsia" w:asciiTheme="minorEastAsia" w:hAnsiTheme="minorEastAsia" w:eastAsiaTheme="minorEastAsia" w:cstheme="minorBidi"/>
          <w:kern w:val="2"/>
          <w:sz w:val="32"/>
          <w:szCs w:val="32"/>
          <w:lang w:val="en-US" w:eastAsia="zh-CN" w:bidi="ar-SA"/>
        </w:rPr>
        <w:t>中华人民共和国主席令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textAlignment w:val="baseline"/>
        <w:rPr>
          <w:rFonts w:hint="default" w:asciiTheme="minorEastAsia" w:hAnsiTheme="minorEastAsia" w:eastAsiaTheme="minorEastAsia" w:cstheme="minorBidi"/>
          <w:kern w:val="2"/>
          <w:sz w:val="32"/>
          <w:szCs w:val="32"/>
          <w:lang w:val="en-US" w:eastAsia="zh-CN" w:bidi="ar-SA"/>
        </w:rPr>
      </w:pPr>
      <w:r>
        <w:rPr>
          <w:rFonts w:hint="eastAsia" w:asciiTheme="minorEastAsia" w:hAnsiTheme="minorEastAsia" w:eastAsiaTheme="minorEastAsia" w:cstheme="minorBidi"/>
          <w:kern w:val="2"/>
          <w:sz w:val="32"/>
          <w:szCs w:val="32"/>
          <w:lang w:val="en-US" w:eastAsia="zh-CN" w:bidi="ar-SA"/>
        </w:rPr>
        <w:t>第五十三号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textAlignment w:val="baseline"/>
        <w:rPr>
          <w:rFonts w:hint="eastAsia" w:asciiTheme="minorEastAsia" w:hAnsiTheme="minorEastAsia" w:eastAsiaTheme="minorEastAsia" w:cstheme="minorBidi"/>
          <w:kern w:val="2"/>
          <w:sz w:val="32"/>
          <w:szCs w:val="32"/>
          <w:lang w:val="en-US" w:eastAsia="zh-CN" w:bidi="ar-SA"/>
        </w:rPr>
      </w:pPr>
      <w:r>
        <w:rPr>
          <w:rFonts w:hint="eastAsia" w:asciiTheme="minorEastAsia" w:hAnsiTheme="minorEastAsia" w:eastAsiaTheme="minorEastAsia" w:cstheme="minorBidi"/>
          <w:kern w:val="2"/>
          <w:sz w:val="32"/>
          <w:szCs w:val="32"/>
          <w:lang w:val="en-US" w:eastAsia="zh-CN" w:bidi="ar-SA"/>
        </w:rPr>
        <w:t>《中华人民共和国网络安全法》已由中华人民共和国第十二届全国人民代表大会常务委员会第二十四次会议于2016年11月7日通过，现予公布，自2017年6月1日起施行。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textAlignment w:val="baseline"/>
        <w:rPr>
          <w:i w:val="0"/>
        </w:rPr>
      </w:pPr>
      <w:r>
        <w:rPr>
          <w:rFonts w:hint="eastAsia" w:asciiTheme="minorEastAsia" w:hAnsiTheme="minorEastAsia" w:eastAsiaTheme="minorEastAsia" w:cstheme="minorBidi"/>
          <w:kern w:val="2"/>
          <w:sz w:val="32"/>
          <w:szCs w:val="32"/>
          <w:lang w:val="en-US" w:eastAsia="zh-CN" w:bidi="ar-SA"/>
        </w:rPr>
        <w:t>中华人民共和国主席 习近平  2016年11月7日</w:t>
      </w:r>
      <w:r>
        <w:rPr>
          <w:rFonts w:hint="eastAsia" w:asciiTheme="minorEastAsia" w:hAnsiTheme="minorEastAsia" w:eastAsiaTheme="minorEastAsia" w:cstheme="minorBidi"/>
          <w:kern w:val="2"/>
          <w:sz w:val="32"/>
          <w:szCs w:val="32"/>
          <w:lang w:val="en-US" w:eastAsia="zh-CN" w:bidi="ar-SA"/>
        </w:rPr>
        <w:br w:type="textWrapping"/>
      </w:r>
      <w:r>
        <w:rPr>
          <w:rFonts w:hint="eastAsia" w:ascii="宋体" w:hAnsi="宋体" w:eastAsia="宋体" w:cs="宋体"/>
          <w:i w:val="0"/>
          <w:caps w:val="0"/>
          <w:color w:val="070707"/>
          <w:spacing w:val="0"/>
          <w:sz w:val="31"/>
          <w:szCs w:val="31"/>
        </w:rPr>
        <w:t>中华人民共和国网络安全法</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center"/>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rPr>
        <w:t>目    录</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both"/>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i w:val="0"/>
          <w:caps w:val="0"/>
          <w:color w:val="070707"/>
          <w:spacing w:val="0"/>
          <w:sz w:val="24"/>
          <w:szCs w:val="24"/>
          <w:shd w:val="clear" w:fill="FFFFFF"/>
        </w:rPr>
        <w:t xml:space="preserve">    </w:t>
      </w:r>
      <w:r>
        <w:rPr>
          <w:rFonts w:hint="eastAsia" w:ascii="宋体" w:hAnsi="宋体" w:eastAsia="宋体" w:cs="宋体"/>
          <w:i w:val="0"/>
          <w:caps w:val="0"/>
          <w:color w:val="070707"/>
          <w:spacing w:val="0"/>
          <w:sz w:val="24"/>
          <w:szCs w:val="24"/>
          <w:shd w:val="clear" w:fill="FFFFFF"/>
          <w:lang w:val="en-US" w:eastAsia="zh-CN"/>
        </w:rPr>
        <w:t xml:space="preserve">   </w:t>
      </w:r>
      <w:r>
        <w:rPr>
          <w:rFonts w:hint="eastAsia" w:ascii="宋体" w:hAnsi="宋体" w:eastAsia="宋体" w:cs="宋体"/>
          <w:b/>
          <w:i w:val="0"/>
          <w:caps w:val="0"/>
          <w:color w:val="070707"/>
          <w:spacing w:val="0"/>
          <w:sz w:val="24"/>
          <w:szCs w:val="24"/>
          <w:shd w:val="clear" w:fill="FFFFFF"/>
        </w:rPr>
        <w:t>第一章  总则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left"/>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rPr>
        <w:t>第二章  网络安全支持与促进</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482" w:firstLineChars="200"/>
        <w:jc w:val="left"/>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rPr>
        <w:t>第三章  网络运行安全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left"/>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rPr>
        <w:t>第一节  一般规定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left"/>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rPr>
        <w:t>第二节  关键信息基础设施的运行安全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left"/>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rPr>
        <w:t>第四章  网络信息安全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left"/>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rPr>
        <w:t>第五章  监测预警与应急处置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left"/>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rPr>
        <w:t>第六章  法律责任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left"/>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rPr>
        <w:t>第七章  附则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left"/>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rPr>
        <w:t>第一章  总则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第一条</w:t>
      </w:r>
      <w:r>
        <w:rPr>
          <w:rFonts w:hint="eastAsia" w:ascii="宋体" w:hAnsi="宋体" w:eastAsia="宋体" w:cs="宋体"/>
          <w:i w:val="0"/>
          <w:caps w:val="0"/>
          <w:color w:val="070707"/>
          <w:spacing w:val="0"/>
          <w:sz w:val="24"/>
          <w:szCs w:val="24"/>
          <w:shd w:val="clear" w:fill="FFFFFF"/>
        </w:rPr>
        <w:t>  </w:t>
      </w:r>
      <w:bookmarkStart w:id="3" w:name="_GoBack"/>
      <w:r>
        <w:rPr>
          <w:rFonts w:hint="eastAsia" w:ascii="宋体" w:hAnsi="宋体" w:eastAsia="宋体" w:cs="宋体"/>
          <w:i w:val="0"/>
          <w:caps w:val="0"/>
          <w:color w:val="070707"/>
          <w:spacing w:val="0"/>
          <w:sz w:val="24"/>
          <w:szCs w:val="24"/>
          <w:shd w:val="clear" w:fill="FFFFFF"/>
        </w:rPr>
        <w:t>为了保障网络安全，维护网络空间主权和国家安全、社会公共利益，保护公民、法人和其他组织的合法权益，促进经济社会信息化健康发展，制定本法。</w:t>
      </w:r>
    </w:p>
    <w:bookmarkEnd w:id="3"/>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68"/>
        <w:jc w:val="both"/>
        <w:rPr>
          <w:i w:val="0"/>
        </w:rPr>
      </w:pPr>
      <w:r>
        <w:rPr>
          <w:rFonts w:hint="eastAsia" w:ascii="宋体" w:hAnsi="宋体" w:eastAsia="宋体" w:cs="宋体"/>
          <w:b/>
          <w:i w:val="0"/>
          <w:caps w:val="0"/>
          <w:color w:val="070707"/>
          <w:spacing w:val="0"/>
          <w:sz w:val="24"/>
          <w:szCs w:val="24"/>
          <w:shd w:val="clear" w:fill="FFFFFF"/>
        </w:rPr>
        <w:t>第二条</w:t>
      </w:r>
      <w:r>
        <w:rPr>
          <w:rFonts w:hint="eastAsia" w:ascii="宋体" w:hAnsi="宋体" w:eastAsia="宋体" w:cs="宋体"/>
          <w:i w:val="0"/>
          <w:caps w:val="0"/>
          <w:color w:val="070707"/>
          <w:spacing w:val="0"/>
          <w:sz w:val="24"/>
          <w:szCs w:val="24"/>
          <w:shd w:val="clear" w:fill="FFFFFF"/>
        </w:rPr>
        <w:t>  在中华人民共和国境内建设、运营、维护和使用网络，以及网络安全的监督管理，适用本法。</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第三条</w:t>
      </w:r>
      <w:r>
        <w:rPr>
          <w:rFonts w:hint="eastAsia" w:ascii="宋体" w:hAnsi="宋体" w:eastAsia="宋体" w:cs="宋体"/>
          <w:i w:val="0"/>
          <w:caps w:val="0"/>
          <w:color w:val="070707"/>
          <w:spacing w:val="0"/>
          <w:sz w:val="24"/>
          <w:szCs w:val="24"/>
          <w:shd w:val="clear" w:fill="FFFFFF"/>
        </w:rPr>
        <w:t>  国家坚持网络安全与信息化发展并重，遵循积极利用、科学发展、依法管理、确保安全的方针，推进网络基础设施建设和互联互通，鼓励网络技术创新和应用，支持培养网络安全人才，建立健全网络安全保障体系，提高网络安全保护能力。</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第四条</w:t>
      </w:r>
      <w:r>
        <w:rPr>
          <w:rFonts w:hint="eastAsia" w:ascii="宋体" w:hAnsi="宋体" w:eastAsia="宋体" w:cs="宋体"/>
          <w:i w:val="0"/>
          <w:caps w:val="0"/>
          <w:color w:val="070707"/>
          <w:spacing w:val="0"/>
          <w:sz w:val="24"/>
          <w:szCs w:val="24"/>
          <w:shd w:val="clear" w:fill="FFFFFF"/>
        </w:rPr>
        <w:t>  国家制定并不断完善网络安全战略，明确保障网络安全的基本要求和主要目标，提出重点领域的网络安全政策、工作任务和措施。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第五条</w:t>
      </w:r>
      <w:r>
        <w:rPr>
          <w:rFonts w:hint="eastAsia" w:ascii="宋体" w:hAnsi="宋体" w:eastAsia="宋体" w:cs="宋体"/>
          <w:i w:val="0"/>
          <w:caps w:val="0"/>
          <w:color w:val="070707"/>
          <w:spacing w:val="0"/>
          <w:sz w:val="24"/>
          <w:szCs w:val="24"/>
          <w:shd w:val="clear" w:fill="FFFFFF"/>
        </w:rPr>
        <w:t>  国家采取措施，监测、防御、处置来源于中华人民共和国境内外的网络安全风险和威胁，保护关键信息基础设施免受攻击、侵入、干扰和破坏，依法惩治网络违法犯罪活动，维护网络空间安全和秩序。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第六条</w:t>
      </w:r>
      <w:r>
        <w:rPr>
          <w:rFonts w:hint="eastAsia" w:ascii="宋体" w:hAnsi="宋体" w:eastAsia="宋体" w:cs="宋体"/>
          <w:i w:val="0"/>
          <w:caps w:val="0"/>
          <w:color w:val="070707"/>
          <w:spacing w:val="0"/>
          <w:sz w:val="24"/>
          <w:szCs w:val="24"/>
          <w:shd w:val="clear" w:fill="FFFFFF"/>
        </w:rPr>
        <w:t>  国家倡导诚实守信、健康文明的网络行为，推动传播社会主义核心价值观，采取措施提高全社会的网络安全意识和水平，形成全社会共同参与促进网络安全的良好环境。</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第七条</w:t>
      </w:r>
      <w:r>
        <w:rPr>
          <w:rFonts w:hint="eastAsia" w:ascii="宋体" w:hAnsi="宋体" w:eastAsia="宋体" w:cs="宋体"/>
          <w:i w:val="0"/>
          <w:caps w:val="0"/>
          <w:color w:val="070707"/>
          <w:spacing w:val="0"/>
          <w:sz w:val="24"/>
          <w:szCs w:val="24"/>
          <w:shd w:val="clear" w:fill="FFFFFF"/>
        </w:rPr>
        <w:t>  国家积极开展网络空间治理、网络技术研发和标准制定、打击网络违法犯罪等方面的国际交流与合作，推动构建和平、安全、开放、合作的网络空间，建立多边、民主、透明的网络治理体系。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第八条 </w:t>
      </w:r>
      <w:r>
        <w:rPr>
          <w:rFonts w:hint="eastAsia" w:ascii="宋体" w:hAnsi="宋体" w:eastAsia="宋体" w:cs="宋体"/>
          <w:i w:val="0"/>
          <w:caps w:val="0"/>
          <w:color w:val="070707"/>
          <w:spacing w:val="0"/>
          <w:sz w:val="24"/>
          <w:szCs w:val="24"/>
          <w:shd w:val="clear" w:fill="FFFFFF"/>
        </w:rPr>
        <w:t>国家网信部门负责统筹协调网络安全工作和相关监督管理工作。国务院电信主管部门、公安部门和其他有关机关依照本法和有关法律、行政法规的规定，在各自职责范围内负责网络安全保护和监督管理工作。</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县级以上地方人民政府有关部门的网络安全保护和监督管理职责，按照国家有关规定确定。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第九条 </w:t>
      </w:r>
      <w:r>
        <w:rPr>
          <w:rFonts w:hint="eastAsia" w:ascii="宋体" w:hAnsi="宋体" w:eastAsia="宋体" w:cs="宋体"/>
          <w:i w:val="0"/>
          <w:caps w:val="0"/>
          <w:color w:val="070707"/>
          <w:spacing w:val="0"/>
          <w:sz w:val="24"/>
          <w:szCs w:val="24"/>
          <w:shd w:val="clear" w:fill="FFFFFF"/>
        </w:rPr>
        <w:t>网络运营者开展经营和服务活动，必须遵守法律、行政法规，尊重社会公德，遵守商业道德，诚实信用，履行网络安全保护义务，接受政府和社会的监督，承担社会责任。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第十条</w:t>
      </w:r>
      <w:r>
        <w:rPr>
          <w:rFonts w:hint="eastAsia" w:ascii="宋体" w:hAnsi="宋体" w:eastAsia="宋体" w:cs="宋体"/>
          <w:i w:val="0"/>
          <w:caps w:val="0"/>
          <w:color w:val="070707"/>
          <w:spacing w:val="0"/>
          <w:sz w:val="24"/>
          <w:szCs w:val="24"/>
          <w:shd w:val="clear" w:fill="FFFFFF"/>
        </w:rPr>
        <w:t>  建设、运营网络或者通过网络提供服务，应当依照法律、行政法规的规定和国家标准的强制性要求，采取技术措施和其他必要措施，保障网络安全、稳定运行，有效应对网络安全事件，防范网络违法犯罪活动，维护网络数据的完整性、保密性和可用性。</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第十一条 </w:t>
      </w:r>
      <w:r>
        <w:rPr>
          <w:rFonts w:hint="eastAsia" w:ascii="宋体" w:hAnsi="宋体" w:eastAsia="宋体" w:cs="宋体"/>
          <w:i w:val="0"/>
          <w:caps w:val="0"/>
          <w:color w:val="070707"/>
          <w:spacing w:val="0"/>
          <w:sz w:val="24"/>
          <w:szCs w:val="24"/>
          <w:shd w:val="clear" w:fill="FFFFFF"/>
        </w:rPr>
        <w:t>网络相关行业组织按照章程，加强行业自律，制定网络安全行为规范，指导会员加强网络安全保护，提高网络安全保护水平，促进行业健康发展。</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第十二条 </w:t>
      </w:r>
      <w:r>
        <w:rPr>
          <w:rFonts w:hint="eastAsia" w:ascii="宋体" w:hAnsi="宋体" w:eastAsia="宋体" w:cs="宋体"/>
          <w:i w:val="0"/>
          <w:caps w:val="0"/>
          <w:color w:val="070707"/>
          <w:spacing w:val="0"/>
          <w:sz w:val="24"/>
          <w:szCs w:val="24"/>
          <w:shd w:val="clear" w:fill="FFFFFF"/>
        </w:rPr>
        <w:t>国家保护公民、法人和其他组织依法使用网络的权利，促进网络接入普及，提升网络服务水平，为社会提供安全、便利的网络服务，保障网络信息依法有序自由流动。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任何个人和组织使用网络应当遵守宪法法律，遵守公共秩序，尊重社会公德，不得危害网络安全，不得利用网络从事危害国家安全、荣誉和利益，煽动颠覆国家政权、推翻社会主义制度，煽动分裂国家、破坏国家统一，宣扬恐怖主义、极端主义，宣扬民族仇恨、民族歧视，传播暴力、淫秽色情信息，编造、传播虚假信息扰乱经济秩序和社会秩序，以及侵害他人名誉、隐私、知识产权和其他合法权益等活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第十三条 </w:t>
      </w:r>
      <w:r>
        <w:rPr>
          <w:rFonts w:hint="eastAsia" w:ascii="宋体" w:hAnsi="宋体" w:eastAsia="宋体" w:cs="宋体"/>
          <w:i w:val="0"/>
          <w:caps w:val="0"/>
          <w:color w:val="070707"/>
          <w:spacing w:val="0"/>
          <w:sz w:val="24"/>
          <w:szCs w:val="24"/>
          <w:shd w:val="clear" w:fill="FFFFFF"/>
        </w:rPr>
        <w:t>国家支持研究开发有利于未成年人健康成长的网络产品和服务，依法惩治利用网络从事危害未成年人身心健康的活动，为未成年人提供安全、健康的网络环境。</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第十四条 </w:t>
      </w:r>
      <w:r>
        <w:rPr>
          <w:rFonts w:hint="eastAsia" w:ascii="宋体" w:hAnsi="宋体" w:eastAsia="宋体" w:cs="宋体"/>
          <w:i w:val="0"/>
          <w:caps w:val="0"/>
          <w:color w:val="070707"/>
          <w:spacing w:val="0"/>
          <w:sz w:val="24"/>
          <w:szCs w:val="24"/>
          <w:shd w:val="clear" w:fill="FFFFFF"/>
        </w:rPr>
        <w:t>任何个人和组织有权对危害网络安全的行为向网信、电信、公安等部门举报。收到举报的部门应当及时依法作出处理；不属于本部门职责的，应当及时移送有权处理的部门。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i w:val="0"/>
          <w:caps w:val="0"/>
          <w:color w:val="070707"/>
          <w:spacing w:val="0"/>
          <w:sz w:val="24"/>
          <w:szCs w:val="24"/>
          <w:shd w:val="clear" w:fill="FFFFFF"/>
        </w:rPr>
      </w:pPr>
      <w:r>
        <w:rPr>
          <w:rFonts w:hint="eastAsia" w:ascii="宋体" w:hAnsi="宋体" w:eastAsia="宋体" w:cs="宋体"/>
          <w:i w:val="0"/>
          <w:caps w:val="0"/>
          <w:color w:val="070707"/>
          <w:spacing w:val="0"/>
          <w:sz w:val="24"/>
          <w:szCs w:val="24"/>
          <w:shd w:val="clear" w:fill="FFFFFF"/>
        </w:rPr>
        <w:t>有关部门应当对举报人的相关信息予以保密，保护举报人的合法权益。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i w:val="0"/>
          <w:caps w:val="0"/>
          <w:color w:val="070707"/>
          <w:spacing w:val="0"/>
          <w:sz w:val="24"/>
          <w:szCs w:val="24"/>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center"/>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lang w:val="en-US" w:eastAsia="zh-CN"/>
        </w:rPr>
        <w:t xml:space="preserve">   </w:t>
      </w:r>
      <w:r>
        <w:rPr>
          <w:rFonts w:hint="eastAsia" w:ascii="宋体" w:hAnsi="宋体" w:eastAsia="宋体" w:cs="宋体"/>
          <w:b/>
          <w:i w:val="0"/>
          <w:caps w:val="0"/>
          <w:color w:val="070707"/>
          <w:spacing w:val="0"/>
          <w:sz w:val="24"/>
          <w:szCs w:val="24"/>
          <w:shd w:val="clear" w:fill="FFFFFF"/>
        </w:rPr>
        <w:t>第二章  网络安全支持与促进</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第十五条 </w:t>
      </w:r>
      <w:r>
        <w:rPr>
          <w:rFonts w:hint="eastAsia" w:ascii="宋体" w:hAnsi="宋体" w:eastAsia="宋体" w:cs="宋体"/>
          <w:i w:val="0"/>
          <w:caps w:val="0"/>
          <w:color w:val="070707"/>
          <w:spacing w:val="0"/>
          <w:sz w:val="24"/>
          <w:szCs w:val="24"/>
          <w:shd w:val="clear" w:fill="FFFFFF"/>
        </w:rPr>
        <w:t>国家建立和完善网络安全标准体系。国务院标准化行政主管部门和国务院其他有关部门根据各自的职责，组织制定并适时修订有关网络安全管理以及网络产品、服务和运行安全的国家标准、行业标准。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国家支持企业、研究机构、高等学校、网络相关行业组织参与网络安全国家标准、行业标准的制定。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第十六条</w:t>
      </w:r>
      <w:r>
        <w:rPr>
          <w:rFonts w:hint="eastAsia" w:ascii="宋体" w:hAnsi="宋体" w:eastAsia="宋体" w:cs="宋体"/>
          <w:i w:val="0"/>
          <w:caps w:val="0"/>
          <w:color w:val="070707"/>
          <w:spacing w:val="0"/>
          <w:sz w:val="24"/>
          <w:szCs w:val="24"/>
          <w:shd w:val="clear" w:fill="FFFFFF"/>
        </w:rPr>
        <w:t>  国务院和省、自治区、直辖市人民政府应当统筹规划，加大投入，扶持重点网络安全技术产业和项目，支持网络安全技术的研究开发和应用，推广安全可信的网络产品和服务，保护网络技术知识产权，支持企业、研究机构和高等学校等参与国家网络安全技术创新项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第十七条</w:t>
      </w:r>
      <w:r>
        <w:rPr>
          <w:rFonts w:hint="eastAsia" w:ascii="宋体" w:hAnsi="宋体" w:eastAsia="宋体" w:cs="宋体"/>
          <w:i w:val="0"/>
          <w:caps w:val="0"/>
          <w:color w:val="070707"/>
          <w:spacing w:val="0"/>
          <w:sz w:val="24"/>
          <w:szCs w:val="24"/>
          <w:shd w:val="clear" w:fill="FFFFFF"/>
        </w:rPr>
        <w:t>  国家推进网络安全社会化服务体系建设，鼓励有关企业、机构开展网络安全认证、检测和风险评估等安全服务。</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第十八条</w:t>
      </w:r>
      <w:r>
        <w:rPr>
          <w:rFonts w:hint="eastAsia" w:ascii="宋体" w:hAnsi="宋体" w:eastAsia="宋体" w:cs="宋体"/>
          <w:i w:val="0"/>
          <w:caps w:val="0"/>
          <w:color w:val="070707"/>
          <w:spacing w:val="0"/>
          <w:sz w:val="24"/>
          <w:szCs w:val="24"/>
          <w:shd w:val="clear" w:fill="FFFFFF"/>
        </w:rPr>
        <w:t>  国家鼓励开发网络数据安全保护和利用技术，促进公共数据资源开放，推动技术创新和经济社会发展。</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国家支持创新网络安全管理方式，运用网络新技术，提升网络安全保护水平。</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第十九条</w:t>
      </w:r>
      <w:r>
        <w:rPr>
          <w:rFonts w:hint="eastAsia" w:ascii="宋体" w:hAnsi="宋体" w:eastAsia="宋体" w:cs="宋体"/>
          <w:i w:val="0"/>
          <w:caps w:val="0"/>
          <w:color w:val="070707"/>
          <w:spacing w:val="0"/>
          <w:sz w:val="24"/>
          <w:szCs w:val="24"/>
          <w:shd w:val="clear" w:fill="FFFFFF"/>
        </w:rPr>
        <w:t>  各级人民政府及其有关部门应当组织开展经常性的网络安全宣传教育，并指导、督促有关单位做好网络安全宣传教育工作。</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大众传播媒介应当有针对性地面向社会进行网络安全宣传教育。</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第二十条 </w:t>
      </w:r>
      <w:r>
        <w:rPr>
          <w:rFonts w:hint="eastAsia" w:ascii="宋体" w:hAnsi="宋体" w:eastAsia="宋体" w:cs="宋体"/>
          <w:i w:val="0"/>
          <w:caps w:val="0"/>
          <w:color w:val="070707"/>
          <w:spacing w:val="0"/>
          <w:sz w:val="24"/>
          <w:szCs w:val="24"/>
          <w:shd w:val="clear" w:fill="FFFFFF"/>
        </w:rPr>
        <w:t>国家支持企业和高等学校、职业学校等教育培训机构开展网络安全相关教育与培训，采取多种方式培养网络安全人才，促进网络安全人才交流。</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center"/>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lang w:val="en-US" w:eastAsia="zh-CN"/>
        </w:rPr>
        <w:t xml:space="preserve"> </w:t>
      </w:r>
      <w:r>
        <w:rPr>
          <w:rFonts w:hint="eastAsia" w:ascii="宋体" w:hAnsi="宋体" w:eastAsia="宋体" w:cs="宋体"/>
          <w:b/>
          <w:i w:val="0"/>
          <w:caps w:val="0"/>
          <w:color w:val="070707"/>
          <w:spacing w:val="0"/>
          <w:sz w:val="24"/>
          <w:szCs w:val="24"/>
          <w:shd w:val="clear" w:fill="FFFFFF"/>
        </w:rPr>
        <w:t>第三章  网络运行安全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723" w:firstLineChars="300"/>
        <w:jc w:val="both"/>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rPr>
        <w:t>第一节</w:t>
      </w:r>
      <w:r>
        <w:rPr>
          <w:rFonts w:hint="default" w:ascii="宋体" w:hAnsi="宋体" w:eastAsia="宋体" w:cs="宋体"/>
          <w:b/>
          <w:i w:val="0"/>
          <w:caps w:val="0"/>
          <w:color w:val="070707"/>
          <w:spacing w:val="0"/>
          <w:sz w:val="24"/>
          <w:szCs w:val="24"/>
          <w:shd w:val="clear" w:fill="FFFFFF"/>
        </w:rPr>
        <w:t> 一般规定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第二十一条 </w:t>
      </w:r>
      <w:r>
        <w:rPr>
          <w:rFonts w:hint="eastAsia" w:ascii="宋体" w:hAnsi="宋体" w:eastAsia="宋体" w:cs="宋体"/>
          <w:i w:val="0"/>
          <w:caps w:val="0"/>
          <w:color w:val="070707"/>
          <w:spacing w:val="0"/>
          <w:sz w:val="24"/>
          <w:szCs w:val="24"/>
          <w:shd w:val="clear" w:fill="FFFFFF"/>
        </w:rPr>
        <w:t>国家实行网络安全等级保护制度。网络运营者应当按照网络安全等级保护制度的要求，履行下列安全保护义务，保障网络免受干扰、破坏或者未经授权的访问，防止网络数据泄露或者被窃取、篡改：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（一）制定内部安全管理制度和操作规程，确定网络安全负责人，落实网络安全保护责任；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（二）采取防范计算机病毒和网络攻击、网络侵入等危害网络安全行为的技术措施；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（三）采取监测、记录网络运行状态、网络安全事件的技术措施，并按照规定留存相关的网络日志不少于六个月；</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（四）采取数据分类、重要数据备份和加密等措施；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（五）法律、行政法规规定的其他义务。</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第二十二条 </w:t>
      </w:r>
      <w:r>
        <w:rPr>
          <w:rFonts w:hint="eastAsia" w:ascii="宋体" w:hAnsi="宋体" w:eastAsia="宋体" w:cs="宋体"/>
          <w:i w:val="0"/>
          <w:caps w:val="0"/>
          <w:color w:val="070707"/>
          <w:spacing w:val="0"/>
          <w:sz w:val="24"/>
          <w:szCs w:val="24"/>
          <w:shd w:val="clear" w:fill="FFFFFF"/>
        </w:rPr>
        <w:t>网络产品、服务应当符合相关国家标准的强制性要求。网络产品、服务的提供者不得设置恶意程序；发现其网络产品、服务存在安全缺陷、漏洞等风险时，应当立即采取补救措施，按照规定及时告知用户并向有关主管部门报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网络产品、服务的提供者应当为其产品、服务持续提供安全维护；在规定或者当事人约定的期限内，不得终止提供安全维护。</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网络产品、服务具有收集用户信息功能的，其提供者应当向用户明示并取得同意；涉及用户个人信息的，还应当遵守本法和有关法律、行政法规关于个人信息保护的规定。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第二十三条 </w:t>
      </w:r>
      <w:r>
        <w:rPr>
          <w:rFonts w:hint="eastAsia" w:ascii="宋体" w:hAnsi="宋体" w:eastAsia="宋体" w:cs="宋体"/>
          <w:i w:val="0"/>
          <w:caps w:val="0"/>
          <w:color w:val="070707"/>
          <w:spacing w:val="0"/>
          <w:sz w:val="24"/>
          <w:szCs w:val="24"/>
          <w:shd w:val="clear" w:fill="FFFFFF"/>
        </w:rPr>
        <w:t>网络关键设备和网络安全专用产品应当按照相关国家标准的强制性要求，由具备资格的机构安全认证合格或者安全检测符合要求后，方可销售或者提供。国家网信部门会同国务院有关部门制定、公布网络关键设备和网络安全专用产品目录，并推动安全认证和安全检测结果互认，避免重复认证、检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第二十四条 </w:t>
      </w:r>
      <w:r>
        <w:rPr>
          <w:rFonts w:hint="eastAsia" w:ascii="宋体" w:hAnsi="宋体" w:eastAsia="宋体" w:cs="宋体"/>
          <w:i w:val="0"/>
          <w:caps w:val="0"/>
          <w:color w:val="070707"/>
          <w:spacing w:val="0"/>
          <w:sz w:val="24"/>
          <w:szCs w:val="24"/>
          <w:shd w:val="clear" w:fill="FFFFFF"/>
        </w:rPr>
        <w:t>网络运营者为用户办理网络接入、域名注册服务，办理固定电话、移动电话等入网手续，或者为用户提供信息发布、即时通讯等服务，在与用户签订协议或者确认提供服务时，应当要求用户提供真实身份信息。用户不提供真实身份信息的，网络运营者不得为其提供相关服务。</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国家实施网络可信身份战略，支持研究开发安全、方便的电子身份认证技术，推动不同电子身份认证之间的互认。</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第二十五条 </w:t>
      </w:r>
      <w:r>
        <w:rPr>
          <w:rFonts w:hint="eastAsia" w:ascii="宋体" w:hAnsi="宋体" w:eastAsia="宋体" w:cs="宋体"/>
          <w:i w:val="0"/>
          <w:caps w:val="0"/>
          <w:color w:val="070707"/>
          <w:spacing w:val="0"/>
          <w:sz w:val="24"/>
          <w:szCs w:val="24"/>
          <w:shd w:val="clear" w:fill="FFFFFF"/>
        </w:rPr>
        <w:t>网络运营者应当制定网络安全事件应急预案，及时处置系统漏洞、计算机病毒、网络攻击、网络侵入等安全风险；在发生危害网络安全的事件时，立即启动应急预案，采取相应的补救措施，并按照规定向有关主管部门报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第二十六条</w:t>
      </w:r>
      <w:r>
        <w:rPr>
          <w:rFonts w:hint="eastAsia" w:ascii="宋体" w:hAnsi="宋体" w:eastAsia="宋体" w:cs="宋体"/>
          <w:i w:val="0"/>
          <w:caps w:val="0"/>
          <w:color w:val="070707"/>
          <w:spacing w:val="0"/>
          <w:sz w:val="24"/>
          <w:szCs w:val="24"/>
          <w:shd w:val="clear" w:fill="FFFFFF"/>
        </w:rPr>
        <w:t>  开展网络安全认证、检测、风险评估等活动，向社会发布系统漏洞、计算机病毒、网络攻击、网络侵入等网络安全信息，应当遵守国家有关规定。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第二十七条</w:t>
      </w:r>
      <w:r>
        <w:rPr>
          <w:rFonts w:hint="eastAsia" w:ascii="宋体" w:hAnsi="宋体" w:eastAsia="宋体" w:cs="宋体"/>
          <w:i w:val="0"/>
          <w:caps w:val="0"/>
          <w:color w:val="070707"/>
          <w:spacing w:val="0"/>
          <w:sz w:val="24"/>
          <w:szCs w:val="24"/>
          <w:shd w:val="clear" w:fill="FFFFFF"/>
        </w:rPr>
        <w:t>  任何个人和组织不得从事非法侵入他人网络、干扰他人网络正常功能、窃取网络数据等危害网络安全的活动；不得提供专门用于从事侵入网络、干扰网络正常功能及防护措施、窃取网络数据等危害网络安全活动的程序、工具；明知他人从事危害网络安全的活动的，不得为其提供技术支持、广告推广、支付结算等帮助。</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第二十八条</w:t>
      </w:r>
      <w:r>
        <w:rPr>
          <w:rFonts w:hint="eastAsia" w:ascii="宋体" w:hAnsi="宋体" w:eastAsia="宋体" w:cs="宋体"/>
          <w:i w:val="0"/>
          <w:caps w:val="0"/>
          <w:color w:val="070707"/>
          <w:spacing w:val="0"/>
          <w:sz w:val="24"/>
          <w:szCs w:val="24"/>
          <w:shd w:val="clear" w:fill="FFFFFF"/>
        </w:rPr>
        <w:t>  网络运营者应当为公安机关、国家安全机关依法维护国家安全和侦查犯罪的活动提供技术支持和协助。</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第二十九条</w:t>
      </w:r>
      <w:r>
        <w:rPr>
          <w:rFonts w:hint="eastAsia" w:ascii="宋体" w:hAnsi="宋体" w:eastAsia="宋体" w:cs="宋体"/>
          <w:i w:val="0"/>
          <w:caps w:val="0"/>
          <w:color w:val="070707"/>
          <w:spacing w:val="0"/>
          <w:sz w:val="24"/>
          <w:szCs w:val="24"/>
          <w:shd w:val="clear" w:fill="FFFFFF"/>
        </w:rPr>
        <w:t>  国家支持网络运营者之间在网络安全信息收集、分析、通报和应急处置等方面进行合作，提高网络运营者的安全保障能力。</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有关行业组织建立健全本行业的网络安全保护规范和协作机制，加强对网络安全风险的分析评估，定期向会员进行风险警示，支持、协助会员应对网络安全风险。</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第三十条</w:t>
      </w:r>
      <w:r>
        <w:rPr>
          <w:rFonts w:hint="eastAsia" w:ascii="宋体" w:hAnsi="宋体" w:eastAsia="宋体" w:cs="宋体"/>
          <w:i w:val="0"/>
          <w:caps w:val="0"/>
          <w:color w:val="070707"/>
          <w:spacing w:val="0"/>
          <w:sz w:val="24"/>
          <w:szCs w:val="24"/>
          <w:shd w:val="clear" w:fill="FFFFFF"/>
        </w:rPr>
        <w:t>  网信部门和有关部门在履行网络安全保护职责中获取的信息，只能用于维护网络安全的需要，不得用于其他用途。</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rPr>
      </w:pPr>
      <w:r>
        <w:rPr>
          <w:rFonts w:hint="default" w:ascii="宋体" w:hAnsi="宋体" w:eastAsia="宋体" w:cs="宋体"/>
          <w:b/>
          <w:i w:val="0"/>
          <w:caps w:val="0"/>
          <w:color w:val="070707"/>
          <w:spacing w:val="0"/>
          <w:sz w:val="24"/>
          <w:szCs w:val="24"/>
          <w:shd w:val="clear" w:fill="FFFFFF"/>
        </w:rPr>
        <w:t>第二节 关键信息基础设施的运行安全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第三十一条</w:t>
      </w:r>
      <w:r>
        <w:rPr>
          <w:rFonts w:hint="eastAsia" w:ascii="宋体" w:hAnsi="宋体" w:eastAsia="宋体" w:cs="宋体"/>
          <w:i w:val="0"/>
          <w:caps w:val="0"/>
          <w:color w:val="070707"/>
          <w:spacing w:val="0"/>
          <w:sz w:val="24"/>
          <w:szCs w:val="24"/>
          <w:shd w:val="clear" w:fill="FFFFFF"/>
        </w:rPr>
        <w:t>  国家对公共通信和信息服务、能源、交通、水利、金融、公共服务、电子政务等重要行业和领域，以及其他一旦遭到破坏、丧失功能或者数据泄露，可能严重危害国家安全、国计民生、公共利益的关键信息基础设施，在网络安全等级保护制度的基础上，实行重点保护。关键信息基础设施的具体范围和安全保护办法由国务院制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国家鼓励关键信息基础设施以外的网络运营者自愿参与关键信息基础设施保护体系。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第三十二条 </w:t>
      </w:r>
      <w:r>
        <w:rPr>
          <w:rFonts w:hint="eastAsia" w:ascii="宋体" w:hAnsi="宋体" w:eastAsia="宋体" w:cs="宋体"/>
          <w:i w:val="0"/>
          <w:caps w:val="0"/>
          <w:color w:val="070707"/>
          <w:spacing w:val="0"/>
          <w:sz w:val="24"/>
          <w:szCs w:val="24"/>
          <w:shd w:val="clear" w:fill="FFFFFF"/>
        </w:rPr>
        <w:t>按照国务院规定的职责分工，负责关键信息基础设施安全保护工作的部门分别编制并组织实施本行业、本领域的关键信息基础设施安全规划，指导和监督关键信息基础设施运行安全保护工作。</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第三十三条</w:t>
      </w:r>
      <w:r>
        <w:rPr>
          <w:rFonts w:hint="eastAsia" w:ascii="宋体" w:hAnsi="宋体" w:eastAsia="宋体" w:cs="宋体"/>
          <w:i w:val="0"/>
          <w:caps w:val="0"/>
          <w:color w:val="070707"/>
          <w:spacing w:val="0"/>
          <w:sz w:val="24"/>
          <w:szCs w:val="24"/>
          <w:shd w:val="clear" w:fill="FFFFFF"/>
        </w:rPr>
        <w:t>  建设关键信息基础设施应当确保其具有支持业务稳定、持续运行的性能，并保证安全技术措施同步规划、同步建设、同步使用。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第三十四条</w:t>
      </w:r>
      <w:r>
        <w:rPr>
          <w:rFonts w:hint="eastAsia" w:ascii="宋体" w:hAnsi="宋体" w:eastAsia="宋体" w:cs="宋体"/>
          <w:i w:val="0"/>
          <w:caps w:val="0"/>
          <w:color w:val="070707"/>
          <w:spacing w:val="0"/>
          <w:sz w:val="24"/>
          <w:szCs w:val="24"/>
          <w:shd w:val="clear" w:fill="FFFFFF"/>
        </w:rPr>
        <w:t>  除本法第二十一条的规定外，关键信息基础设施的运营者还应当履行下列安全保护义务：</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（一）设置专门安全管理机构和安全管理负责人，并对该负责人和关键岗位的人员进行安全背景审查；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（二）定期对从业人员进行网络安全教育、技术培训和技能考核；</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（三）对重要系统和数据库进行容灾备份；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（四）制定网络安全事件应急预案，并定期进行演练；</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（五）法律、行政法规规定的其他义务。</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b/>
          <w:i w:val="0"/>
          <w:caps w:val="0"/>
          <w:color w:val="070707"/>
          <w:spacing w:val="0"/>
          <w:sz w:val="24"/>
          <w:szCs w:val="24"/>
          <w:shd w:val="clear" w:fill="FFFFFF"/>
        </w:rPr>
        <w:t>第三十五条 </w:t>
      </w:r>
      <w:r>
        <w:rPr>
          <w:rFonts w:hint="eastAsia" w:ascii="宋体" w:hAnsi="宋体" w:eastAsia="宋体" w:cs="宋体"/>
          <w:i w:val="0"/>
          <w:caps w:val="0"/>
          <w:color w:val="070707"/>
          <w:spacing w:val="0"/>
          <w:sz w:val="24"/>
          <w:szCs w:val="24"/>
          <w:shd w:val="clear" w:fill="FFFFFF"/>
        </w:rPr>
        <w:t>关键信息基础设施的运营者采购网络产品和服务，可能影响国家安全的，应当通过国家网信部门会同国务院有关部门组织的国家安全审查。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第三十六条</w:t>
      </w:r>
      <w:r>
        <w:rPr>
          <w:rFonts w:hint="eastAsia" w:ascii="宋体" w:hAnsi="宋体" w:eastAsia="宋体" w:cs="宋体"/>
          <w:i w:val="0"/>
          <w:caps w:val="0"/>
          <w:color w:val="070707"/>
          <w:spacing w:val="0"/>
          <w:sz w:val="24"/>
          <w:szCs w:val="24"/>
          <w:shd w:val="clear" w:fill="FFFFFF"/>
        </w:rPr>
        <w:t>  关键信息基础设施的运营者采购网络产品和服务，应当按照规定与提供者签订安全保密协议，明确安全和保密义务与责任。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第三十七条 </w:t>
      </w:r>
      <w:r>
        <w:rPr>
          <w:rFonts w:hint="eastAsia" w:ascii="宋体" w:hAnsi="宋体" w:eastAsia="宋体" w:cs="宋体"/>
          <w:i w:val="0"/>
          <w:caps w:val="0"/>
          <w:color w:val="070707"/>
          <w:spacing w:val="0"/>
          <w:sz w:val="24"/>
          <w:szCs w:val="24"/>
          <w:shd w:val="clear" w:fill="FFFFFF"/>
        </w:rPr>
        <w:t>关键信息基础设施的运营者在中华人民共和国境内运营中收集和产生的个人信息和重要数据应当在境内存储。因业务需要，确需向境外提供的，应当按照国家网信部门会同国务院有关部门制定的办法进行安全评估；法律、行政法规另有规定的，依照其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第三十八条</w:t>
      </w:r>
      <w:r>
        <w:rPr>
          <w:rFonts w:hint="eastAsia" w:ascii="宋体" w:hAnsi="宋体" w:eastAsia="宋体" w:cs="宋体"/>
          <w:i w:val="0"/>
          <w:caps w:val="0"/>
          <w:color w:val="070707"/>
          <w:spacing w:val="0"/>
          <w:sz w:val="24"/>
          <w:szCs w:val="24"/>
          <w:shd w:val="clear" w:fill="FFFFFF"/>
        </w:rPr>
        <w:t>  关键信息基础设施的运营者应当自行或者委托网络安全服务机构对其网络的安全性和可能存在的风险每年至少进行一次检测评估，并将检测评估情况和改进措施报送相关负责关键信息基础设施安全保护工作的部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第三十九条</w:t>
      </w:r>
      <w:r>
        <w:rPr>
          <w:rFonts w:hint="eastAsia" w:ascii="宋体" w:hAnsi="宋体" w:eastAsia="宋体" w:cs="宋体"/>
          <w:i w:val="0"/>
          <w:caps w:val="0"/>
          <w:color w:val="070707"/>
          <w:spacing w:val="0"/>
          <w:sz w:val="24"/>
          <w:szCs w:val="24"/>
          <w:shd w:val="clear" w:fill="FFFFFF"/>
        </w:rPr>
        <w:t>  国家网信部门应当统筹协调有关部门对关键信息基础设施的安全保护采取下列措施：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（一）对关键信息基础设施的安全风险进行抽查检测，提出改进措施，必要时可以委托网络安全服务机构对网络存在的安全风险进行检测评估；</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（二）定期组织关键信息基础设施的运营者进行网络安全应急演练，提高应对网络安全事件的水平和协同配合能力；</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（三）促进有关部门、关键信息基础设施的运营者以及有关研究机构、网络安全服务机构等之间的网络安全信息共享；</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（四）对网络安全事件的应急处置与网络功能的恢复等，提供技术支持和协助。</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default"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rPr>
        <w:t>第四章  网络信息安全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第四十条 </w:t>
      </w:r>
      <w:r>
        <w:rPr>
          <w:rFonts w:hint="eastAsia" w:ascii="宋体" w:hAnsi="宋体" w:eastAsia="宋体" w:cs="宋体"/>
          <w:i w:val="0"/>
          <w:caps w:val="0"/>
          <w:color w:val="070707"/>
          <w:spacing w:val="0"/>
          <w:sz w:val="24"/>
          <w:szCs w:val="24"/>
          <w:shd w:val="clear" w:fill="FFFFFF"/>
        </w:rPr>
        <w:t>网络运营者应当对其收集的用户信息严格保密，并建立健全用户信息保护制度。</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第四十一条 </w:t>
      </w:r>
      <w:r>
        <w:rPr>
          <w:rFonts w:hint="eastAsia" w:ascii="宋体" w:hAnsi="宋体" w:eastAsia="宋体" w:cs="宋体"/>
          <w:i w:val="0"/>
          <w:caps w:val="0"/>
          <w:color w:val="070707"/>
          <w:spacing w:val="0"/>
          <w:sz w:val="24"/>
          <w:szCs w:val="24"/>
          <w:shd w:val="clear" w:fill="FFFFFF"/>
        </w:rPr>
        <w:t>网络运营者收集、使用个人信息，应当遵循合法、正当、必要的原则，公开收集、使用规则，明示收集、使用信息的目的、方式和范围，并经被收集者同意。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网络运营者不得收集与其提供的服务无关的个人信息，不得违反法律、行政法规的规定和双方的约定收集、使用个人信息，并应当依照法律、行政法规的规定和与用户的约定，处理其保存的个人信息。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第四十二条</w:t>
      </w:r>
      <w:r>
        <w:rPr>
          <w:rFonts w:hint="eastAsia" w:ascii="宋体" w:hAnsi="宋体" w:eastAsia="宋体" w:cs="宋体"/>
          <w:i w:val="0"/>
          <w:caps w:val="0"/>
          <w:color w:val="070707"/>
          <w:spacing w:val="0"/>
          <w:sz w:val="24"/>
          <w:szCs w:val="24"/>
          <w:shd w:val="clear" w:fill="FFFFFF"/>
        </w:rPr>
        <w:t>  网络运营者不得泄露、篡改、毁损其收集的个人信息；未经被收集者同意，不得向他人提供个人信息。但是，经过处理无法识别特定个人且不能复原的除外。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网络运营者应当采取技术措施和其他必要措施，确保其收集的个人信息安全，防止信息泄露、毁损、丢失。在发生或者可能发生个人信息泄露、毁损、丢失的情况时，应当立即采取补救措施，按照规定及时告知用户并向有关主管部门报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第四十三条</w:t>
      </w:r>
      <w:r>
        <w:rPr>
          <w:rFonts w:hint="eastAsia" w:ascii="宋体" w:hAnsi="宋体" w:eastAsia="宋体" w:cs="宋体"/>
          <w:i w:val="0"/>
          <w:caps w:val="0"/>
          <w:color w:val="070707"/>
          <w:spacing w:val="0"/>
          <w:sz w:val="24"/>
          <w:szCs w:val="24"/>
          <w:shd w:val="clear" w:fill="FFFFFF"/>
        </w:rPr>
        <w:t>  个人发现网络运营者违反法律、行政法规的规定或者双方的约定收集、使用其个人信息的，有权要求网络运营者删除其个人信息；发现网络运营者收集、存储的其个人信息有错误的，有权要求网络运营者予以更正。网络运营者应当采取措施予以删除或者更正。</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第四十四条</w:t>
      </w:r>
      <w:r>
        <w:rPr>
          <w:rFonts w:hint="eastAsia" w:ascii="宋体" w:hAnsi="宋体" w:eastAsia="宋体" w:cs="宋体"/>
          <w:i w:val="0"/>
          <w:caps w:val="0"/>
          <w:color w:val="070707"/>
          <w:spacing w:val="0"/>
          <w:sz w:val="24"/>
          <w:szCs w:val="24"/>
          <w:shd w:val="clear" w:fill="FFFFFF"/>
        </w:rPr>
        <w:t>  任何个人和组织不得窃取或者以其他非法方式获取个人信息，不得非法出售或者非法向他人提供个人信息。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第四十五条</w:t>
      </w:r>
      <w:r>
        <w:rPr>
          <w:rFonts w:hint="eastAsia" w:ascii="宋体" w:hAnsi="宋体" w:eastAsia="宋体" w:cs="宋体"/>
          <w:i w:val="0"/>
          <w:caps w:val="0"/>
          <w:color w:val="070707"/>
          <w:spacing w:val="0"/>
          <w:sz w:val="24"/>
          <w:szCs w:val="24"/>
          <w:shd w:val="clear" w:fill="FFFFFF"/>
        </w:rPr>
        <w:t>  依法负有网络安全监督管理职责的部门及其工作人员，必须对在履行职责中知悉的个人信息、隐私和商业秘密严格保密，不得泄露、出售或者非法向他人提供。</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第四十六条</w:t>
      </w:r>
      <w:r>
        <w:rPr>
          <w:rFonts w:hint="eastAsia" w:ascii="宋体" w:hAnsi="宋体" w:eastAsia="宋体" w:cs="宋体"/>
          <w:i w:val="0"/>
          <w:caps w:val="0"/>
          <w:color w:val="070707"/>
          <w:spacing w:val="0"/>
          <w:sz w:val="24"/>
          <w:szCs w:val="24"/>
          <w:shd w:val="clear" w:fill="FFFFFF"/>
        </w:rPr>
        <w:t>  任何个人和组织应当对其使用网络的行为负责，不得设立用于实施诈骗，传授犯罪方法，制作或者销售违禁物品、管制物品等违法犯罪活动的网站、通讯群组，不得利用网络发布涉及实施诈骗，制作或者销售违禁物品、管制物品以及其他违法犯罪活动的信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第四十七条</w:t>
      </w:r>
      <w:r>
        <w:rPr>
          <w:rFonts w:hint="eastAsia" w:ascii="宋体" w:hAnsi="宋体" w:eastAsia="宋体" w:cs="宋体"/>
          <w:i w:val="0"/>
          <w:caps w:val="0"/>
          <w:color w:val="070707"/>
          <w:spacing w:val="0"/>
          <w:sz w:val="24"/>
          <w:szCs w:val="24"/>
          <w:shd w:val="clear" w:fill="FFFFFF"/>
        </w:rPr>
        <w:t>  网络运营者应当加强对其用户发布的信息的管理，发现法律、行政法规禁止发布或者传输的信息的，应当立即停止传输该信息，采取消除等处置措施，防止信息扩散，保存有关记录，并向有关主管部门报告。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第四十八条 </w:t>
      </w:r>
      <w:r>
        <w:rPr>
          <w:rFonts w:hint="eastAsia" w:ascii="宋体" w:hAnsi="宋体" w:eastAsia="宋体" w:cs="宋体"/>
          <w:i w:val="0"/>
          <w:caps w:val="0"/>
          <w:color w:val="070707"/>
          <w:spacing w:val="0"/>
          <w:sz w:val="24"/>
          <w:szCs w:val="24"/>
          <w:shd w:val="clear" w:fill="FFFFFF"/>
        </w:rPr>
        <w:t>任何个人和组织发送的电子信息、提供的应用软件，不得设置恶意程序，不得含有法律、行政法规禁止发布或者传输的信息。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电子信息发送服务提供者和应用软件下载服务提供者，应当履行安全管理义务，知道其用户有前款规定行为的，应当停止提供服务，采取消除等处置措施，保存有关记录，并向有关主管部门报告。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第四十九条 </w:t>
      </w:r>
      <w:r>
        <w:rPr>
          <w:rFonts w:hint="eastAsia" w:ascii="宋体" w:hAnsi="宋体" w:eastAsia="宋体" w:cs="宋体"/>
          <w:i w:val="0"/>
          <w:caps w:val="0"/>
          <w:color w:val="070707"/>
          <w:spacing w:val="0"/>
          <w:sz w:val="24"/>
          <w:szCs w:val="24"/>
          <w:shd w:val="clear" w:fill="FFFFFF"/>
        </w:rPr>
        <w:t>网络运营者应当建立网络信息安全投诉、举报制度，公布投诉、举报方式等信息，及时受理并处理有关网络信息安全的投诉和举报。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网络运营者对网信部门和有关部门依法实施的监督检查，应当予以配合。</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第五十条</w:t>
      </w:r>
      <w:r>
        <w:rPr>
          <w:rFonts w:hint="eastAsia" w:ascii="宋体" w:hAnsi="宋体" w:eastAsia="宋体" w:cs="宋体"/>
          <w:i w:val="0"/>
          <w:caps w:val="0"/>
          <w:color w:val="070707"/>
          <w:spacing w:val="0"/>
          <w:sz w:val="24"/>
          <w:szCs w:val="24"/>
          <w:shd w:val="clear" w:fill="FFFFFF"/>
        </w:rPr>
        <w:t>  国家网信部门和有关部门依法履行网络信息安全监督管理职责，发现法律、行政法规禁止发布或者传输的信息的，应当要求网络运营者停止传输，采取消除等处置措施，保存有关记录；对来源于中华人民共和国境外的上述信息，应当通知有关机构采取技术措施和其他必要措施阻断传播。</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rPr>
        <w:t>第五章  监测预警与应急处置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第五十一条</w:t>
      </w:r>
      <w:r>
        <w:rPr>
          <w:rFonts w:hint="eastAsia" w:ascii="宋体" w:hAnsi="宋体" w:eastAsia="宋体" w:cs="宋体"/>
          <w:i w:val="0"/>
          <w:caps w:val="0"/>
          <w:color w:val="070707"/>
          <w:spacing w:val="0"/>
          <w:sz w:val="24"/>
          <w:szCs w:val="24"/>
          <w:shd w:val="clear" w:fill="FFFFFF"/>
        </w:rPr>
        <w:t>  国家建立网络安全监测预警和信息通报制度。国家网信部门应当统筹协调有关部门加强网络安全信息收集、分析和通报工作，按照规定统一发布网络安全监测预警信息。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第五十二条</w:t>
      </w:r>
      <w:r>
        <w:rPr>
          <w:rFonts w:hint="eastAsia" w:ascii="宋体" w:hAnsi="宋体" w:eastAsia="宋体" w:cs="宋体"/>
          <w:i w:val="0"/>
          <w:caps w:val="0"/>
          <w:color w:val="070707"/>
          <w:spacing w:val="0"/>
          <w:sz w:val="24"/>
          <w:szCs w:val="24"/>
          <w:shd w:val="clear" w:fill="FFFFFF"/>
        </w:rPr>
        <w:t>  负责关键信息基础设施安全保护工作的部门，应当建立健全本行业、本领域的网络安全监测预警和信息通报制度，并按照规定报送网络安全监测预警信息。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第五十三条</w:t>
      </w:r>
      <w:r>
        <w:rPr>
          <w:rFonts w:hint="eastAsia" w:ascii="宋体" w:hAnsi="宋体" w:eastAsia="宋体" w:cs="宋体"/>
          <w:i w:val="0"/>
          <w:caps w:val="0"/>
          <w:color w:val="070707"/>
          <w:spacing w:val="0"/>
          <w:sz w:val="24"/>
          <w:szCs w:val="24"/>
          <w:shd w:val="clear" w:fill="FFFFFF"/>
        </w:rPr>
        <w:t>  国家网信部门协调有关部门建立健全网络安全风险评估和应急工作机制，制定网络安全事件应急预案，并定期组织演练。</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负责关键信息基础设施安全保护工作的部门应当制定本行业、本领域的网络安全事件应急预案，并定期组织演练。</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网络安全事件应急预案应当按照事件发生后的危害程度、影响范围等因素对网络安全事件进行分级，并规定相应的应急处置措施。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第五十四条</w:t>
      </w:r>
      <w:r>
        <w:rPr>
          <w:rFonts w:hint="eastAsia" w:ascii="宋体" w:hAnsi="宋体" w:eastAsia="宋体" w:cs="宋体"/>
          <w:i w:val="0"/>
          <w:caps w:val="0"/>
          <w:color w:val="070707"/>
          <w:spacing w:val="0"/>
          <w:sz w:val="24"/>
          <w:szCs w:val="24"/>
          <w:shd w:val="clear" w:fill="FFFFFF"/>
        </w:rPr>
        <w:t>  网络安全事件发生的风险增大时，省级以上人民政府有关部门应当按照规定的权限和程序，并根据网络安全风险的特点和可能造成的危害，采取下列措施：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（一）要求有关部门、机构和人员及时收集、报告有关信息，加强对网络安全风险的监测；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（二）组织有关部门、机构和专业人员，对网络安全风险信息进行分析评估，预测事件发生的可能性、影响范围和危害程度；</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（三）向社会发布网络安全风险预警，发布避免、减轻危害的措施。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第五十五条</w:t>
      </w:r>
      <w:r>
        <w:rPr>
          <w:rFonts w:hint="eastAsia" w:ascii="宋体" w:hAnsi="宋体" w:eastAsia="宋体" w:cs="宋体"/>
          <w:i w:val="0"/>
          <w:caps w:val="0"/>
          <w:color w:val="070707"/>
          <w:spacing w:val="0"/>
          <w:sz w:val="24"/>
          <w:szCs w:val="24"/>
          <w:shd w:val="clear" w:fill="FFFFFF"/>
        </w:rPr>
        <w:t>  发生网络安全事件，应当立即启动网络安全事件应急预案，对网络安全事件进行调查和评估，要求网络运营者采取技术措施和其他必要措施，消除安全隐患，防止危害扩大，并及时向社会发布与公众有关的警示信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第五十六条 </w:t>
      </w:r>
      <w:r>
        <w:rPr>
          <w:rFonts w:hint="eastAsia" w:ascii="宋体" w:hAnsi="宋体" w:eastAsia="宋体" w:cs="宋体"/>
          <w:i w:val="0"/>
          <w:caps w:val="0"/>
          <w:color w:val="070707"/>
          <w:spacing w:val="0"/>
          <w:sz w:val="24"/>
          <w:szCs w:val="24"/>
          <w:shd w:val="clear" w:fill="FFFFFF"/>
        </w:rPr>
        <w:t>省级以上人民政府有关部门在履行网络安全监督管理职责中，发现网络存在较大安全风险或者发生安全事件的，可以按照规定的权限和程序对该网络的运营者的法定代表人或者主要负责人进行约谈。网络运营者应当按照要求采取措施，进行整改，消除隐患。</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第五十七条 </w:t>
      </w:r>
      <w:r>
        <w:rPr>
          <w:rFonts w:hint="eastAsia" w:ascii="宋体" w:hAnsi="宋体" w:eastAsia="宋体" w:cs="宋体"/>
          <w:i w:val="0"/>
          <w:caps w:val="0"/>
          <w:color w:val="070707"/>
          <w:spacing w:val="0"/>
          <w:sz w:val="24"/>
          <w:szCs w:val="24"/>
          <w:shd w:val="clear" w:fill="FFFFFF"/>
        </w:rPr>
        <w:t>因网络安全事件，发生突发事件或者生产安全事故的，应当依照《中华人民共和国突发事件应对法》、《中华人民共和国安全生产法》等有关法律、行政法规的规定处置。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第五十八条</w:t>
      </w:r>
      <w:r>
        <w:rPr>
          <w:rFonts w:hint="eastAsia" w:ascii="宋体" w:hAnsi="宋体" w:eastAsia="宋体" w:cs="宋体"/>
          <w:i w:val="0"/>
          <w:caps w:val="0"/>
          <w:color w:val="070707"/>
          <w:spacing w:val="0"/>
          <w:sz w:val="24"/>
          <w:szCs w:val="24"/>
          <w:shd w:val="clear" w:fill="FFFFFF"/>
        </w:rPr>
        <w:t> 因维护国家安全和社会公共秩序，处置重大突发社会安全事件的需要，经国务院决定或者批准，可以在特定区域对网络通信采取限制等临时措施。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1019" w:firstLineChars="423"/>
        <w:jc w:val="both"/>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rPr>
        <w:t>第六章  法律责任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第五十九条</w:t>
      </w:r>
      <w:r>
        <w:rPr>
          <w:rFonts w:hint="eastAsia" w:ascii="宋体" w:hAnsi="宋体" w:eastAsia="宋体" w:cs="宋体"/>
          <w:i w:val="0"/>
          <w:caps w:val="0"/>
          <w:color w:val="070707"/>
          <w:spacing w:val="0"/>
          <w:sz w:val="24"/>
          <w:szCs w:val="24"/>
          <w:shd w:val="clear" w:fill="FFFFFF"/>
        </w:rPr>
        <w:t>  网络运营者不履行本法第二十一条、第二十五条规定的网络安全保护义务的，由有关主管部门责令改正，给予警告；拒不改正或者导致危害网络安全等后果的，处一万元以上十万元以下罚款，对直接负责的主管人员处五千元以上五万元以下罚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关键信息基础设施的运营者不履行本法第三十三条、第三十四条、第三十六条、第三十八条规定的网络安全保护义务的，由有关主管部门责令改正，给予警告；拒不改正或者导致危害网络安全等后果的，处十万元以上一百万元以下罚款，对直接负责的主管人员处一万元以上十万元以下罚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第六十条</w:t>
      </w:r>
      <w:r>
        <w:rPr>
          <w:rFonts w:hint="eastAsia" w:ascii="宋体" w:hAnsi="宋体" w:eastAsia="宋体" w:cs="宋体"/>
          <w:i w:val="0"/>
          <w:caps w:val="0"/>
          <w:color w:val="070707"/>
          <w:spacing w:val="0"/>
          <w:sz w:val="24"/>
          <w:szCs w:val="24"/>
          <w:shd w:val="clear" w:fill="FFFFFF"/>
        </w:rPr>
        <w:t>  违反本法第二十二条第一款、第二款和第四十八条第一款规定，有下列行为之一的，由有关主管部门责令改正，给予警告；拒不改正或者导致危害网络安全等后果的，处五万元以上五十万元以下罚款，对直接负责的主管人员处一万元以上十万元以下罚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（一）设置恶意程序的；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（二）对其产品、服务存在的安全缺陷、漏洞等风险未立即采取补救措施，或者未按照规定及时告知用户并向有关主管部门报告的；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（三）擅自终止为其产品、服务提供安全维护的。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第六十一条</w:t>
      </w:r>
      <w:r>
        <w:rPr>
          <w:rFonts w:hint="eastAsia" w:ascii="宋体" w:hAnsi="宋体" w:eastAsia="宋体" w:cs="宋体"/>
          <w:i w:val="0"/>
          <w:caps w:val="0"/>
          <w:color w:val="070707"/>
          <w:spacing w:val="0"/>
          <w:sz w:val="24"/>
          <w:szCs w:val="24"/>
          <w:shd w:val="clear" w:fill="FFFFFF"/>
        </w:rPr>
        <w:t>  网络运营者违反本法第二十四条第一款规定，未要求用户提供真实身份信息，或者对不提供真实身份信息的用户提供相关服务的，由有关主管部门责令改正；拒不改正或者情节严重的，处五万元以上五十万元以下罚款，并可以由有关主管部门责令暂停相关业务、停业整顿、关闭网站、吊销相关业务许可证或者吊销营业执照，对直接负责的主管人员和其他直接责任人员处一万元以上十万元以下罚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第六十二条 </w:t>
      </w:r>
      <w:r>
        <w:rPr>
          <w:rFonts w:hint="eastAsia" w:ascii="宋体" w:hAnsi="宋体" w:eastAsia="宋体" w:cs="宋体"/>
          <w:i w:val="0"/>
          <w:caps w:val="0"/>
          <w:color w:val="070707"/>
          <w:spacing w:val="0"/>
          <w:sz w:val="24"/>
          <w:szCs w:val="24"/>
          <w:shd w:val="clear" w:fill="FFFFFF"/>
        </w:rPr>
        <w:t>违反本法第二十六条规定，开展网络安全认证、检测、风险评估等活动，或者向社会发布系统漏洞、计算机病毒、网络攻击、网络侵入等网络安全信息的，由有关主管部门责令改正，给予警告；拒不改正或者情节严重的，处一万元以上十万元以下罚款，并可以由有关主管部门责令暂停相关业务、停业整顿、关闭网站、吊销相关业务许可证或者吊销营业执照，对直接负责的主管人员和其他直接责任人员处五千元以上五万元以下罚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第六十三条</w:t>
      </w:r>
      <w:r>
        <w:rPr>
          <w:rFonts w:hint="eastAsia" w:ascii="宋体" w:hAnsi="宋体" w:eastAsia="宋体" w:cs="宋体"/>
          <w:i w:val="0"/>
          <w:caps w:val="0"/>
          <w:color w:val="070707"/>
          <w:spacing w:val="0"/>
          <w:sz w:val="24"/>
          <w:szCs w:val="24"/>
          <w:shd w:val="clear" w:fill="FFFFFF"/>
        </w:rPr>
        <w:t>  违反本法第二十七条规定，从事危害网络安全的活动，或者提供专门用于从事危害网络安全活动的程序、工具，或者为他人从事危害网络安全的活动提供技术支持、广告推广、支付结算等帮助，尚不构成犯罪的，由公安机关没收违法所得，处五日以下拘留，可以并处五万元以上五十万元以下罚款；情节较重的，处五日以上十五日以下拘留，可以并处十万元以上一百万元以下罚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单位有前款行为的，由公安机关没收违法所得，处十万元以上一百万元以下罚款，并对直接负责的主管人员和其他直接责任人员依照前款规定处罚。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违反本法第二十七条规定，受到治安管理处罚的人员，五年内不得从事网络安全管理和网络运营关键岗位的工作；受到刑事处罚的人员，终身不得从事网络安全管理和网络运营关键岗位的工作。</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第六十四条 </w:t>
      </w:r>
      <w:r>
        <w:rPr>
          <w:rFonts w:hint="eastAsia" w:ascii="宋体" w:hAnsi="宋体" w:eastAsia="宋体" w:cs="宋体"/>
          <w:i w:val="0"/>
          <w:caps w:val="0"/>
          <w:color w:val="070707"/>
          <w:spacing w:val="0"/>
          <w:sz w:val="24"/>
          <w:szCs w:val="24"/>
          <w:shd w:val="clear" w:fill="FFFFFF"/>
        </w:rPr>
        <w:t>网络运营者、网络产品或者服务的提供者违反本法第二十二条第三款、第四十一条至第四十三条规定，侵害个人信息依法得到保护的权利的，由有关主管部门责令改正，可以根据情节单处或者并处警告、没收违法所得、处违法所得一倍以上十倍以下罚款，没有违法所得的，处一百万元以下罚款，对直接负责的主管人员和其他直接责任人员处一万元以上十万元以下罚款；情节严重的，并可以责令暂停相关业务、停业整顿、关闭网站、吊销相关业务许可证或者吊销营业执照。</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违反本法第四十四条规定，窃取或者以其他非法方式获取、非法出售或者非法向他人提供个人信息，尚不构成犯罪的，由公安机关没收违法所得，并处违法所得一倍以上十倍以下罚款，没有违法所得的，处一百万元以下罚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第六十五条</w:t>
      </w:r>
      <w:r>
        <w:rPr>
          <w:rFonts w:hint="eastAsia" w:ascii="宋体" w:hAnsi="宋体" w:eastAsia="宋体" w:cs="宋体"/>
          <w:i w:val="0"/>
          <w:caps w:val="0"/>
          <w:color w:val="070707"/>
          <w:spacing w:val="0"/>
          <w:sz w:val="24"/>
          <w:szCs w:val="24"/>
          <w:shd w:val="clear" w:fill="FFFFFF"/>
        </w:rPr>
        <w:t>  关键信息基础设施的运营者违反本法第三十五条规定，使用未经安全审查或者安全审查未通过的网络产品或者服务的，由有关主管部门责令停止使用，处采购金额一倍以上十倍以下罚款；对直接负责的主管人员和其他直接责任人员处一万元以上十万元以下罚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第六十六条</w:t>
      </w:r>
      <w:r>
        <w:rPr>
          <w:rFonts w:hint="eastAsia" w:ascii="宋体" w:hAnsi="宋体" w:eastAsia="宋体" w:cs="宋体"/>
          <w:i w:val="0"/>
          <w:caps w:val="0"/>
          <w:color w:val="070707"/>
          <w:spacing w:val="0"/>
          <w:sz w:val="24"/>
          <w:szCs w:val="24"/>
          <w:shd w:val="clear" w:fill="FFFFFF"/>
        </w:rPr>
        <w:t>  关键信息基础设施的运营者违反本法第三十七条规定，在境外存储网络数据，或者向境外提供网络数据的，由有关主管部门责令改正，给予警告，没收违法所得，处五万元以上五十万元以下罚款，并可以责令暂停相关业务、停业整顿、关闭网站、吊销相关业务许可证或者吊销营业执照；对直接负责的主管人员和其他直接责任人员处一万元以上十万元以下罚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第六十七条</w:t>
      </w:r>
      <w:r>
        <w:rPr>
          <w:rFonts w:hint="eastAsia" w:ascii="宋体" w:hAnsi="宋体" w:eastAsia="宋体" w:cs="宋体"/>
          <w:i w:val="0"/>
          <w:caps w:val="0"/>
          <w:color w:val="070707"/>
          <w:spacing w:val="0"/>
          <w:sz w:val="24"/>
          <w:szCs w:val="24"/>
          <w:shd w:val="clear" w:fill="FFFFFF"/>
        </w:rPr>
        <w:t>  违反本法第四十六条规定，设立用于实施违法犯罪活动的网站、通讯群组，或者利用网络发布涉及实施违法犯罪活动的信息，尚不构成犯罪的，由公安机关处五日以下拘留，可以并处一万元以上十万元以下罚款；情节较重的，处五日以上十五日以下拘留，可以并处五万元以上五十万元以下罚款。关闭用于实施违法犯罪活动的网站、通讯群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单位有前款行为的，由公安机关处十万元以上五十万元以下罚款，并对直接负责的主管人员和其他直接责任人员依照前款规定处罚。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第六十八条 </w:t>
      </w:r>
      <w:r>
        <w:rPr>
          <w:rFonts w:hint="eastAsia" w:ascii="宋体" w:hAnsi="宋体" w:eastAsia="宋体" w:cs="宋体"/>
          <w:i w:val="0"/>
          <w:caps w:val="0"/>
          <w:color w:val="070707"/>
          <w:spacing w:val="0"/>
          <w:sz w:val="24"/>
          <w:szCs w:val="24"/>
          <w:shd w:val="clear" w:fill="FFFFFF"/>
        </w:rPr>
        <w:t>网络运营者违反本法第四十七条规定，对法律、行政法规禁止发布或者传输的信息未停止传输、采取消除等处置措施、保存有关记录的，由有关主管部门责令改正，给予警告，没收违法所得；拒不改正或者情节严重的，处十万元以上五十万元以下罚款，并可以责令暂停相关业务、停业整顿、关闭网站、吊销相关业务许可证或者吊销营业执照，对直接负责的主管人员和其他直接责任人员处一万元以上十万元以下罚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电子信息发送服务提供者、应用软件下载服务提供者，不履行本法第四十八条第二款规定的安全管理义务的，依照前款规定处罚。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第六十九条</w:t>
      </w:r>
      <w:r>
        <w:rPr>
          <w:rFonts w:hint="eastAsia" w:ascii="宋体" w:hAnsi="宋体" w:eastAsia="宋体" w:cs="宋体"/>
          <w:i w:val="0"/>
          <w:caps w:val="0"/>
          <w:color w:val="070707"/>
          <w:spacing w:val="0"/>
          <w:sz w:val="24"/>
          <w:szCs w:val="24"/>
          <w:shd w:val="clear" w:fill="FFFFFF"/>
        </w:rPr>
        <w:t>  网络运营者违反本法规定，有下列行为之一的，由有关主管部门责令改正；拒不改正或者情节严重的，处五万元以上五十万元以下罚款，对直接负责的主管人员和其他直接责任人员，处一万元以上十万元以下罚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（一）不按照有关部门的要求对法律、行政法规禁止发布或者传输的信息，采取停止传输、消除等处置措施的；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（二）拒绝、阻碍有关部门依法实施的监督检查的；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（三）拒不向公安机关、国家安全机关提供技术支持和协助的。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第七十条 </w:t>
      </w:r>
      <w:r>
        <w:rPr>
          <w:rFonts w:hint="eastAsia" w:ascii="宋体" w:hAnsi="宋体" w:eastAsia="宋体" w:cs="宋体"/>
          <w:i w:val="0"/>
          <w:caps w:val="0"/>
          <w:color w:val="070707"/>
          <w:spacing w:val="0"/>
          <w:sz w:val="24"/>
          <w:szCs w:val="24"/>
          <w:shd w:val="clear" w:fill="FFFFFF"/>
        </w:rPr>
        <w:t>发布或者传输本法第十二条第二款和其他法律、行政法规禁止发布或者传输的信息的，依照有关法律、行政法规的规定处罚。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第七十一条</w:t>
      </w:r>
      <w:r>
        <w:rPr>
          <w:rFonts w:hint="eastAsia" w:ascii="宋体" w:hAnsi="宋体" w:eastAsia="宋体" w:cs="宋体"/>
          <w:i w:val="0"/>
          <w:caps w:val="0"/>
          <w:color w:val="070707"/>
          <w:spacing w:val="0"/>
          <w:sz w:val="24"/>
          <w:szCs w:val="24"/>
          <w:shd w:val="clear" w:fill="FFFFFF"/>
        </w:rPr>
        <w:t>  有本法规定的违法行为的，依照有关法律、行政法规的规定记入信用档案，并予以公示。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第七十二条 </w:t>
      </w:r>
      <w:r>
        <w:rPr>
          <w:rFonts w:hint="eastAsia" w:ascii="宋体" w:hAnsi="宋体" w:eastAsia="宋体" w:cs="宋体"/>
          <w:i w:val="0"/>
          <w:caps w:val="0"/>
          <w:color w:val="070707"/>
          <w:spacing w:val="0"/>
          <w:sz w:val="24"/>
          <w:szCs w:val="24"/>
          <w:shd w:val="clear" w:fill="FFFFFF"/>
        </w:rPr>
        <w:t>国家机关政务网络的运营者不履行本法规定的网络安全保护义务的，由其上级机关或者有关机关责令改正；对直接负责的主管人员和其他直接责任人员依法给予处分。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第七十三条 </w:t>
      </w:r>
      <w:r>
        <w:rPr>
          <w:rFonts w:hint="eastAsia" w:ascii="宋体" w:hAnsi="宋体" w:eastAsia="宋体" w:cs="宋体"/>
          <w:i w:val="0"/>
          <w:caps w:val="0"/>
          <w:color w:val="070707"/>
          <w:spacing w:val="0"/>
          <w:sz w:val="24"/>
          <w:szCs w:val="24"/>
          <w:shd w:val="clear" w:fill="FFFFFF"/>
        </w:rPr>
        <w:t>网信部门和有关部门违反本法第三十条规定，将在履行网络安全保护职责中获取的信息用于其他用途的，对直接负责的主管人员和其他直接责任人员依法给予处分。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网信部门和有关部门的工作人员玩忽职守、滥用职权、徇私舞弊，尚不构成犯罪的，依法给予处分。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第七十四条</w:t>
      </w:r>
      <w:r>
        <w:rPr>
          <w:rFonts w:hint="eastAsia" w:ascii="宋体" w:hAnsi="宋体" w:eastAsia="宋体" w:cs="宋体"/>
          <w:i w:val="0"/>
          <w:caps w:val="0"/>
          <w:color w:val="070707"/>
          <w:spacing w:val="0"/>
          <w:sz w:val="24"/>
          <w:szCs w:val="24"/>
          <w:shd w:val="clear" w:fill="FFFFFF"/>
        </w:rPr>
        <w:t>  违反本法规定，给他人造成损害的，依法承担民事责任。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i w:val="0"/>
          <w:caps w:val="0"/>
          <w:color w:val="070707"/>
          <w:spacing w:val="0"/>
          <w:sz w:val="24"/>
          <w:szCs w:val="24"/>
          <w:shd w:val="clear" w:fill="FFFFFF"/>
        </w:rPr>
        <w:t>违反本法规定，构成违反治安管理行为的，依法给予治安管理处罚；构成犯罪的，依法追究刑事责任。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第七十五条</w:t>
      </w:r>
      <w:r>
        <w:rPr>
          <w:rFonts w:hint="eastAsia" w:ascii="宋体" w:hAnsi="宋体" w:eastAsia="宋体" w:cs="宋体"/>
          <w:i w:val="0"/>
          <w:caps w:val="0"/>
          <w:color w:val="070707"/>
          <w:spacing w:val="0"/>
          <w:sz w:val="24"/>
          <w:szCs w:val="24"/>
          <w:shd w:val="clear" w:fill="FFFFFF"/>
        </w:rPr>
        <w:t>  境外的机构、组织、个人从事攻击、侵入、干扰、破坏等危害中华人民共和国的关键信息基础设施的活动，造成严重后果的，依法追究法律责任；国务院公安部门和有关部门并可以决定对该机构、组织、个人采取冻结财产或者其他必要的制裁措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center"/>
        <w:rPr>
          <w:rFonts w:hint="eastAsia" w:ascii="宋体" w:hAnsi="宋体" w:eastAsia="宋体" w:cs="宋体"/>
          <w:b/>
          <w:i w:val="0"/>
          <w:caps w:val="0"/>
          <w:color w:val="070707"/>
          <w:spacing w:val="0"/>
          <w:sz w:val="24"/>
          <w:szCs w:val="24"/>
          <w:shd w:val="clear" w:fill="FFFFFF"/>
        </w:rPr>
      </w:pPr>
      <w:r>
        <w:rPr>
          <w:rFonts w:hint="eastAsia" w:ascii="宋体" w:hAnsi="宋体" w:eastAsia="宋体" w:cs="宋体"/>
          <w:b/>
          <w:i w:val="0"/>
          <w:caps w:val="0"/>
          <w:color w:val="070707"/>
          <w:spacing w:val="0"/>
          <w:sz w:val="24"/>
          <w:szCs w:val="24"/>
          <w:shd w:val="clear" w:fill="FFFFFF"/>
        </w:rPr>
        <w:t>第七章  附则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第七十六条</w:t>
      </w:r>
      <w:r>
        <w:rPr>
          <w:rFonts w:hint="eastAsia" w:ascii="宋体" w:hAnsi="宋体" w:eastAsia="宋体" w:cs="宋体"/>
          <w:i w:val="0"/>
          <w:caps w:val="0"/>
          <w:color w:val="070707"/>
          <w:spacing w:val="0"/>
          <w:sz w:val="24"/>
          <w:szCs w:val="24"/>
          <w:shd w:val="clear" w:fill="FFFFFF"/>
        </w:rPr>
        <w:t>  本法下列用语的含义：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（一）网络，是指由计算机或者其他信息终端及相关设备组成的按照一定的规则和程序对信息进行收集、存储、传输、交换、处理的系统。</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（二）网络安全，是指通过采取必要措施，防范对网络的攻击、侵入、干扰、破坏和非法使用以及意外事故，使网络处于稳定可靠运行的状态，以及保障网络数据的完整性、保密性、可用性的能力。</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（三）网络运营者，是指网络的所有者、管理者和网络服务提供者。</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（四）网络数据，是指通过网络收集、存储、传输、处理和产生的各种电子数据。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jc w:val="both"/>
        <w:rPr>
          <w:i w:val="0"/>
        </w:rPr>
      </w:pPr>
      <w:r>
        <w:rPr>
          <w:rFonts w:hint="eastAsia" w:ascii="宋体" w:hAnsi="宋体" w:eastAsia="宋体" w:cs="宋体"/>
          <w:i w:val="0"/>
          <w:caps w:val="0"/>
          <w:color w:val="070707"/>
          <w:spacing w:val="0"/>
          <w:sz w:val="24"/>
          <w:szCs w:val="24"/>
          <w:shd w:val="clear" w:fill="FFFFFF"/>
        </w:rPr>
        <w:t>（五）个人信息，是指以电子或者其他方式记录的能够单独或者与其他信息结合识别自然人个人身份的各种信息，包括但不限于自然人的姓名、出生日期、身份证件号码、个人生物识别信息、住址、电话号码等。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第七十七条</w:t>
      </w:r>
      <w:r>
        <w:rPr>
          <w:rFonts w:hint="eastAsia" w:ascii="宋体" w:hAnsi="宋体" w:eastAsia="宋体" w:cs="宋体"/>
          <w:i w:val="0"/>
          <w:caps w:val="0"/>
          <w:color w:val="070707"/>
          <w:spacing w:val="0"/>
          <w:sz w:val="24"/>
          <w:szCs w:val="24"/>
          <w:shd w:val="clear" w:fill="FFFFFF"/>
        </w:rPr>
        <w:t>  存储、处理涉及国家秘密信息的网络的运行安全保护，除应当遵守本法外，还应当遵守保密法律、行政法规的规定。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第七十八条</w:t>
      </w:r>
      <w:r>
        <w:rPr>
          <w:rFonts w:hint="eastAsia" w:ascii="宋体" w:hAnsi="宋体" w:eastAsia="宋体" w:cs="宋体"/>
          <w:i w:val="0"/>
          <w:caps w:val="0"/>
          <w:color w:val="070707"/>
          <w:spacing w:val="0"/>
          <w:sz w:val="24"/>
          <w:szCs w:val="24"/>
          <w:shd w:val="clear" w:fill="FFFFFF"/>
        </w:rPr>
        <w:t>  军事网络的安全保护，由中央军事委员会另行规定。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i w:val="0"/>
        </w:rPr>
      </w:pPr>
      <w:r>
        <w:rPr>
          <w:rFonts w:hint="eastAsia" w:ascii="宋体" w:hAnsi="宋体" w:eastAsia="宋体" w:cs="宋体"/>
          <w:b/>
          <w:i w:val="0"/>
          <w:caps w:val="0"/>
          <w:color w:val="070707"/>
          <w:spacing w:val="0"/>
          <w:sz w:val="24"/>
          <w:szCs w:val="24"/>
          <w:shd w:val="clear" w:fill="FFFFFF"/>
        </w:rPr>
        <w:t>第七十九条</w:t>
      </w:r>
      <w:r>
        <w:rPr>
          <w:rFonts w:hint="eastAsia" w:ascii="宋体" w:hAnsi="宋体" w:eastAsia="宋体" w:cs="宋体"/>
          <w:i w:val="0"/>
          <w:caps w:val="0"/>
          <w:color w:val="070707"/>
          <w:spacing w:val="0"/>
          <w:sz w:val="24"/>
          <w:szCs w:val="24"/>
          <w:shd w:val="clear" w:fill="FFFFFF"/>
        </w:rPr>
        <w:t>  本法自2017年6月1日起施行。</w:t>
      </w:r>
    </w:p>
    <w:p>
      <w:pPr>
        <w:tabs>
          <w:tab w:val="left" w:pos="360"/>
        </w:tabs>
        <w:spacing w:beforeLines="0" w:afterLines="0"/>
        <w:ind w:firstLine="489" w:firstLineChars="204"/>
        <w:rPr>
          <w:rFonts w:ascii="宋体" w:hAnsi="宋体" w:eastAsia="宋体" w:cs="宋体"/>
          <w:color w:val="333333"/>
          <w:kern w:val="0"/>
          <w:sz w:val="24"/>
          <w:szCs w:val="24"/>
          <w:shd w:val="clear" w:color="auto" w:fill="FFFFFF"/>
          <w:lang w:val="en-US" w:eastAsia="zh-CN" w:bidi="ar-SA"/>
        </w:rPr>
      </w:pPr>
    </w:p>
    <w:sectPr>
      <w:type w:val="continuous"/>
      <w:pgSz w:w="11906" w:h="16838"/>
      <w:pgMar w:top="1440" w:right="1800" w:bottom="1440" w:left="1800" w:header="851" w:footer="992" w:gutter="0"/>
      <w:cols w:equalWidth="0" w:num="2">
        <w:col w:w="3940" w:space="425"/>
        <w:col w:w="3940"/>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隶二简体">
    <w:altName w:val="隶书"/>
    <w:panose1 w:val="03000509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line-height:2;">
    <w:altName w:val="Segoe Print"/>
    <w:panose1 w:val="00000000000000000000"/>
    <w:charset w:val="00"/>
    <w:family w:val="auto"/>
    <w:pitch w:val="default"/>
    <w:sig w:usb0="00000000" w:usb1="00000000" w:usb2="00000000" w:usb3="00000000" w:csb0="00000000" w:csb1="00000000"/>
  </w:font>
  <w:font w:name="方正小标宋简体">
    <w:altName w:val="Arial Unicode MS"/>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6"/>
          <w:jc w:val="center"/>
        </w:pPr>
        <w:r>
          <w:fldChar w:fldCharType="begin"/>
        </w:r>
        <w:r>
          <w:instrText xml:space="preserve">PAGE   \* MERGEFORMAT</w:instrText>
        </w:r>
        <w:r>
          <w:fldChar w:fldCharType="separate"/>
        </w:r>
        <w:r>
          <w:rPr>
            <w:lang w:val="zh-CN"/>
          </w:rPr>
          <w:t>20</w:t>
        </w:r>
        <w:r>
          <w:fldChar w:fldCharType="end"/>
        </w:r>
      </w:p>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6"/>
          <w:jc w:val="center"/>
        </w:pPr>
        <w:r>
          <w:fldChar w:fldCharType="begin"/>
        </w:r>
        <w:r>
          <w:instrText xml:space="preserve">PAGE   \* MERGEFORMAT</w:instrText>
        </w:r>
        <w:r>
          <w:fldChar w:fldCharType="separate"/>
        </w:r>
        <w:r>
          <w:rPr>
            <w:lang w:val="zh-CN"/>
          </w:rPr>
          <w:t>20</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042"/>
    <w:rsid w:val="00064AAD"/>
    <w:rsid w:val="00095445"/>
    <w:rsid w:val="001102D1"/>
    <w:rsid w:val="00180704"/>
    <w:rsid w:val="001D49CA"/>
    <w:rsid w:val="00372721"/>
    <w:rsid w:val="003F4091"/>
    <w:rsid w:val="00423A15"/>
    <w:rsid w:val="004273BD"/>
    <w:rsid w:val="004943DB"/>
    <w:rsid w:val="004D12E6"/>
    <w:rsid w:val="004E37DF"/>
    <w:rsid w:val="00594C34"/>
    <w:rsid w:val="00597C82"/>
    <w:rsid w:val="005C0C07"/>
    <w:rsid w:val="006303C7"/>
    <w:rsid w:val="0063463E"/>
    <w:rsid w:val="00642D05"/>
    <w:rsid w:val="0065347D"/>
    <w:rsid w:val="006B5B28"/>
    <w:rsid w:val="007A27E6"/>
    <w:rsid w:val="007C0C85"/>
    <w:rsid w:val="007F3EA1"/>
    <w:rsid w:val="008319E5"/>
    <w:rsid w:val="00845A98"/>
    <w:rsid w:val="00960C0F"/>
    <w:rsid w:val="00993042"/>
    <w:rsid w:val="009C5AD9"/>
    <w:rsid w:val="00B91777"/>
    <w:rsid w:val="00BD533B"/>
    <w:rsid w:val="00C0441E"/>
    <w:rsid w:val="00C531E9"/>
    <w:rsid w:val="00D34CB3"/>
    <w:rsid w:val="00F64E6B"/>
    <w:rsid w:val="00FA3FC7"/>
    <w:rsid w:val="00FB14B9"/>
    <w:rsid w:val="00FE5ABC"/>
    <w:rsid w:val="00FF61A5"/>
    <w:rsid w:val="0544256C"/>
    <w:rsid w:val="0C7D4881"/>
    <w:rsid w:val="10C15D0D"/>
    <w:rsid w:val="10C57950"/>
    <w:rsid w:val="11D42BC6"/>
    <w:rsid w:val="1484220E"/>
    <w:rsid w:val="17D81288"/>
    <w:rsid w:val="196D55F7"/>
    <w:rsid w:val="1BA22F06"/>
    <w:rsid w:val="1C04048A"/>
    <w:rsid w:val="1C41265B"/>
    <w:rsid w:val="1E1337E2"/>
    <w:rsid w:val="1ECB7F41"/>
    <w:rsid w:val="1F256E58"/>
    <w:rsid w:val="1F9A5296"/>
    <w:rsid w:val="267C16BB"/>
    <w:rsid w:val="26DD7A45"/>
    <w:rsid w:val="2A4B49F0"/>
    <w:rsid w:val="2DED215A"/>
    <w:rsid w:val="2FB11A0F"/>
    <w:rsid w:val="319F1B33"/>
    <w:rsid w:val="31A62983"/>
    <w:rsid w:val="31AF1F88"/>
    <w:rsid w:val="366620FD"/>
    <w:rsid w:val="381D776C"/>
    <w:rsid w:val="39AF7068"/>
    <w:rsid w:val="3C116B55"/>
    <w:rsid w:val="43173CA9"/>
    <w:rsid w:val="435F74C7"/>
    <w:rsid w:val="471C40A0"/>
    <w:rsid w:val="49D75B88"/>
    <w:rsid w:val="4D055AD2"/>
    <w:rsid w:val="4D3B3483"/>
    <w:rsid w:val="51233380"/>
    <w:rsid w:val="52DF10CE"/>
    <w:rsid w:val="543E71B2"/>
    <w:rsid w:val="5F9A30BC"/>
    <w:rsid w:val="5F9D529B"/>
    <w:rsid w:val="5FE50139"/>
    <w:rsid w:val="60587BD7"/>
    <w:rsid w:val="625652A8"/>
    <w:rsid w:val="66BC71DC"/>
    <w:rsid w:val="66DB511F"/>
    <w:rsid w:val="680F54CF"/>
    <w:rsid w:val="69A52D85"/>
    <w:rsid w:val="70005AFD"/>
    <w:rsid w:val="75F856C4"/>
    <w:rsid w:val="75F91ACE"/>
    <w:rsid w:val="7A4F4EEA"/>
    <w:rsid w:val="7B0D71E4"/>
    <w:rsid w:val="7B395C62"/>
    <w:rsid w:val="7FFC6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44"/>
      <w:sz w:val="24"/>
      <w:szCs w:val="24"/>
      <w:lang w:val="en-US" w:eastAsia="zh-CN" w:bidi="ar-SA"/>
    </w:rPr>
  </w:style>
  <w:style w:type="paragraph" w:styleId="3">
    <w:name w:val="heading 3"/>
    <w:basedOn w:val="1"/>
    <w:next w:val="1"/>
    <w:unhideWhenUsed/>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4"/>
      <w:szCs w:val="24"/>
      <w:lang w:val="en-US" w:eastAsia="zh-CN" w:bidi="ar-SA"/>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4">
    <w:name w:val="Document Map"/>
    <w:basedOn w:val="1"/>
    <w:link w:val="19"/>
    <w:semiHidden/>
    <w:unhideWhenUsed/>
    <w:qFormat/>
    <w:uiPriority w:val="99"/>
    <w:rPr>
      <w:rFonts w:ascii="宋体" w:eastAsia="宋体"/>
      <w:sz w:val="18"/>
      <w:szCs w:val="18"/>
    </w:rPr>
  </w:style>
  <w:style w:type="paragraph" w:styleId="5">
    <w:name w:val="Balloon Text"/>
    <w:basedOn w:val="1"/>
    <w:link w:val="18"/>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character" w:styleId="10">
    <w:name w:val="Strong"/>
    <w:basedOn w:val="9"/>
    <w:qFormat/>
    <w:uiPriority w:val="22"/>
    <w:rPr>
      <w:b/>
      <w:bCs/>
    </w:rPr>
  </w:style>
  <w:style w:type="character" w:styleId="11">
    <w:name w:val="page number"/>
    <w:basedOn w:val="9"/>
    <w:unhideWhenUsed/>
    <w:qFormat/>
    <w:uiPriority w:val="99"/>
    <w:rPr>
      <w:rFonts w:hint="default" w:ascii="Times New Roman"/>
      <w:sz w:val="24"/>
    </w:rPr>
  </w:style>
  <w:style w:type="paragraph" w:styleId="1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4">
    <w:name w:val="apple-converted-space"/>
    <w:basedOn w:val="9"/>
    <w:qFormat/>
    <w:uiPriority w:val="0"/>
  </w:style>
  <w:style w:type="character" w:customStyle="1" w:styleId="15">
    <w:name w:val="页眉 Char"/>
    <w:basedOn w:val="9"/>
    <w:link w:val="7"/>
    <w:qFormat/>
    <w:uiPriority w:val="99"/>
    <w:rPr>
      <w:sz w:val="18"/>
      <w:szCs w:val="18"/>
    </w:rPr>
  </w:style>
  <w:style w:type="character" w:customStyle="1" w:styleId="16">
    <w:name w:val="页脚 Char"/>
    <w:basedOn w:val="9"/>
    <w:link w:val="6"/>
    <w:qFormat/>
    <w:uiPriority w:val="99"/>
    <w:rPr>
      <w:sz w:val="18"/>
      <w:szCs w:val="18"/>
    </w:rPr>
  </w:style>
  <w:style w:type="paragraph" w:styleId="17">
    <w:name w:val="List Paragraph"/>
    <w:basedOn w:val="1"/>
    <w:qFormat/>
    <w:uiPriority w:val="99"/>
    <w:pPr>
      <w:ind w:firstLine="420" w:firstLineChars="200"/>
    </w:pPr>
    <w:rPr>
      <w:rFonts w:ascii="Calibri" w:hAnsi="Calibri" w:eastAsia="宋体" w:cs="Calibri"/>
      <w:szCs w:val="21"/>
    </w:rPr>
  </w:style>
  <w:style w:type="character" w:customStyle="1" w:styleId="18">
    <w:name w:val="批注框文本 Char"/>
    <w:basedOn w:val="9"/>
    <w:link w:val="5"/>
    <w:semiHidden/>
    <w:qFormat/>
    <w:uiPriority w:val="99"/>
    <w:rPr>
      <w:sz w:val="18"/>
      <w:szCs w:val="18"/>
    </w:rPr>
  </w:style>
  <w:style w:type="character" w:customStyle="1" w:styleId="19">
    <w:name w:val="文档结构图 Char"/>
    <w:basedOn w:val="9"/>
    <w:link w:val="4"/>
    <w:semiHidden/>
    <w:qFormat/>
    <w:uiPriority w:val="99"/>
    <w:rPr>
      <w:rFonts w:ascii="宋体" w:eastAsia="宋体"/>
      <w:sz w:val="18"/>
      <w:szCs w:val="18"/>
    </w:rPr>
  </w:style>
  <w:style w:type="character" w:customStyle="1" w:styleId="20">
    <w:name w:val="headline-content5"/>
    <w:basedOn w:val="9"/>
    <w:qFormat/>
    <w:uiPriority w:val="0"/>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F8DBE-41E1-4617-B42A-324CE0DCB54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2180</Words>
  <Characters>12432</Characters>
  <Lines>103</Lines>
  <Paragraphs>29</Paragraphs>
  <TotalTime>8</TotalTime>
  <ScaleCrop>false</ScaleCrop>
  <LinksUpToDate>false</LinksUpToDate>
  <CharactersWithSpaces>14583</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2015-08-29T01:04:00Z</dcterms:created>
  <dc:creator>gjsdxj</dc:creator>
  <cp:lastModifiedBy>尚斐</cp:lastModifiedBy>
  <dcterms:modified xsi:type="dcterms:W3CDTF">2018-12-03T06:20:55Z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